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807FBE" w14:textId="46428B2D" w:rsidR="00B541E2" w:rsidRPr="003B3A49" w:rsidRDefault="003B3A49" w:rsidP="003B3A49">
      <w:pPr>
        <w:jc w:val="center"/>
        <w:rPr>
          <w:b/>
          <w:bCs/>
          <w:sz w:val="44"/>
          <w:szCs w:val="44"/>
          <w:u w:val="single"/>
        </w:rPr>
      </w:pPr>
      <w:r w:rsidRPr="003B3A49">
        <w:rPr>
          <w:b/>
          <w:bCs/>
          <w:sz w:val="44"/>
          <w:szCs w:val="44"/>
          <w:u w:val="single"/>
        </w:rPr>
        <w:t>19214</w:t>
      </w:r>
    </w:p>
    <w:p w14:paraId="01E21C36" w14:textId="57DFFEFF" w:rsidR="003B3A49" w:rsidRPr="003B3A49" w:rsidRDefault="003B3A49" w:rsidP="003B3A49">
      <w:pPr>
        <w:jc w:val="center"/>
        <w:rPr>
          <w:b/>
          <w:bCs/>
          <w:sz w:val="44"/>
          <w:szCs w:val="44"/>
          <w:u w:val="single"/>
        </w:rPr>
      </w:pPr>
      <w:r w:rsidRPr="003B3A49">
        <w:rPr>
          <w:b/>
          <w:bCs/>
          <w:sz w:val="44"/>
          <w:szCs w:val="44"/>
          <w:u w:val="single"/>
        </w:rPr>
        <w:t>Taxation Management</w:t>
      </w:r>
    </w:p>
    <w:p w14:paraId="474672E0" w14:textId="714CA97D" w:rsidR="003B3A49" w:rsidRDefault="003B3A49" w:rsidP="003B3A49">
      <w:pPr>
        <w:jc w:val="center"/>
        <w:rPr>
          <w:b/>
          <w:bCs/>
          <w:sz w:val="44"/>
          <w:szCs w:val="44"/>
          <w:u w:val="single"/>
        </w:rPr>
      </w:pPr>
      <w:r w:rsidRPr="003B3A49">
        <w:rPr>
          <w:b/>
          <w:bCs/>
          <w:sz w:val="44"/>
          <w:szCs w:val="44"/>
          <w:u w:val="single"/>
        </w:rPr>
        <w:t>2019</w:t>
      </w:r>
    </w:p>
    <w:p w14:paraId="250F14B3" w14:textId="33ECE777" w:rsidR="003B3A49" w:rsidRDefault="003B3A49" w:rsidP="003B3A49">
      <w:pPr>
        <w:jc w:val="center"/>
        <w:rPr>
          <w:b/>
          <w:bCs/>
          <w:sz w:val="44"/>
          <w:szCs w:val="44"/>
          <w:u w:val="single"/>
        </w:rPr>
      </w:pPr>
      <w:r>
        <w:rPr>
          <w:b/>
          <w:bCs/>
          <w:sz w:val="44"/>
          <w:szCs w:val="44"/>
          <w:u w:val="single"/>
        </w:rPr>
        <w:t>Short</w:t>
      </w:r>
    </w:p>
    <w:p w14:paraId="6472DC56" w14:textId="77777777" w:rsidR="003B3A49" w:rsidRDefault="003B3A49" w:rsidP="003B3A49">
      <w:pPr>
        <w:shd w:val="clear" w:color="auto" w:fill="FFFFFF"/>
        <w:spacing w:after="0" w:line="240" w:lineRule="auto"/>
        <w:jc w:val="center"/>
        <w:rPr>
          <w:rFonts w:ascii="Arial" w:eastAsia="Times New Roman" w:hAnsi="Arial" w:cs="Arial"/>
          <w:b/>
          <w:bCs/>
          <w:color w:val="202124"/>
          <w:sz w:val="36"/>
          <w:szCs w:val="36"/>
          <w:u w:val="single"/>
        </w:rPr>
      </w:pPr>
    </w:p>
    <w:p w14:paraId="70563A41" w14:textId="16684167" w:rsidR="003B3A49" w:rsidRPr="003B3A49" w:rsidRDefault="003B3A49" w:rsidP="003B3A49">
      <w:pPr>
        <w:shd w:val="clear" w:color="auto" w:fill="FFFFFF"/>
        <w:spacing w:after="0" w:line="240" w:lineRule="auto"/>
        <w:jc w:val="center"/>
        <w:rPr>
          <w:rFonts w:ascii="Arial" w:eastAsia="Times New Roman" w:hAnsi="Arial" w:cs="Arial"/>
          <w:b/>
          <w:bCs/>
          <w:color w:val="202124"/>
          <w:sz w:val="36"/>
          <w:szCs w:val="36"/>
          <w:u w:val="single"/>
        </w:rPr>
      </w:pPr>
      <w:r>
        <w:rPr>
          <w:rFonts w:ascii="Arial" w:eastAsia="Times New Roman" w:hAnsi="Arial" w:cs="Arial"/>
          <w:b/>
          <w:bCs/>
          <w:color w:val="202124"/>
          <w:sz w:val="36"/>
          <w:szCs w:val="36"/>
          <w:u w:val="single"/>
        </w:rPr>
        <w:t>1-</w:t>
      </w:r>
      <w:r w:rsidRPr="003B3A49">
        <w:rPr>
          <w:rFonts w:ascii="Arial" w:eastAsia="Times New Roman" w:hAnsi="Arial" w:cs="Arial"/>
          <w:b/>
          <w:bCs/>
          <w:color w:val="202124"/>
          <w:sz w:val="36"/>
          <w:szCs w:val="36"/>
          <w:u w:val="single"/>
        </w:rPr>
        <w:t>Kibor</w:t>
      </w:r>
    </w:p>
    <w:p w14:paraId="4EDB750E" w14:textId="214F9707" w:rsidR="003B3A49" w:rsidRDefault="003B3A49" w:rsidP="003B3A49">
      <w:pPr>
        <w:shd w:val="clear" w:color="auto" w:fill="FFFFFF"/>
        <w:spacing w:after="0" w:line="240" w:lineRule="auto"/>
        <w:rPr>
          <w:rFonts w:ascii="Arial" w:hAnsi="Arial" w:cs="Arial"/>
          <w:color w:val="202124"/>
          <w:sz w:val="30"/>
          <w:szCs w:val="30"/>
          <w:shd w:val="clear" w:color="auto" w:fill="FFFFFF"/>
        </w:rPr>
      </w:pPr>
      <w:r w:rsidRPr="003B3A49">
        <w:rPr>
          <w:rFonts w:ascii="Arial" w:eastAsia="Times New Roman" w:hAnsi="Arial" w:cs="Arial"/>
          <w:color w:val="202124"/>
          <w:sz w:val="24"/>
          <w:szCs w:val="24"/>
          <w:lang w:val="en"/>
        </w:rPr>
        <w:t>The Karachi Interbank Offered Rate, commonly known as KIBOR, is </w:t>
      </w:r>
      <w:r w:rsidRPr="003B3A49">
        <w:rPr>
          <w:rFonts w:ascii="Arial" w:eastAsia="Times New Roman" w:hAnsi="Arial" w:cs="Arial"/>
          <w:b/>
          <w:bCs/>
          <w:color w:val="202124"/>
          <w:sz w:val="24"/>
          <w:szCs w:val="24"/>
          <w:lang w:val="en"/>
        </w:rPr>
        <w:t>a daily reference rate based on the interest rates at which banks offer to lend unsecured funds to other banks in the Karachi wholesale (or "interbank") money market</w:t>
      </w:r>
      <w:r w:rsidRPr="003B3A49">
        <w:rPr>
          <w:rFonts w:ascii="Arial" w:eastAsia="Times New Roman" w:hAnsi="Arial" w:cs="Arial"/>
          <w:color w:val="202124"/>
          <w:sz w:val="24"/>
          <w:szCs w:val="24"/>
          <w:lang w:val="en"/>
        </w:rPr>
        <w:t>. The banks used it as a benchmark in their lending to corporate sector.</w:t>
      </w:r>
      <w:r>
        <w:rPr>
          <w:rFonts w:ascii="Arial" w:eastAsia="Times New Roman" w:hAnsi="Arial" w:cs="Arial"/>
          <w:color w:val="202124"/>
          <w:sz w:val="24"/>
          <w:szCs w:val="24"/>
          <w:lang w:val="en"/>
        </w:rPr>
        <w:t xml:space="preserve"> Kibor rate is set by </w:t>
      </w:r>
      <w:r>
        <w:rPr>
          <w:rFonts w:ascii="Arial" w:hAnsi="Arial" w:cs="Arial"/>
          <w:color w:val="202124"/>
          <w:sz w:val="30"/>
          <w:szCs w:val="30"/>
          <w:shd w:val="clear" w:color="auto" w:fill="FFFFFF"/>
        </w:rPr>
        <w:t>Financial Market Association of Pakistan</w:t>
      </w:r>
    </w:p>
    <w:p w14:paraId="434880F9" w14:textId="77777777" w:rsidR="003B3A49" w:rsidRDefault="003B3A49" w:rsidP="003B3A49">
      <w:pPr>
        <w:shd w:val="clear" w:color="auto" w:fill="FFFFFF"/>
        <w:spacing w:after="0" w:line="240" w:lineRule="auto"/>
        <w:jc w:val="center"/>
        <w:rPr>
          <w:rFonts w:ascii="Arial" w:eastAsia="Times New Roman" w:hAnsi="Arial" w:cs="Arial"/>
          <w:b/>
          <w:bCs/>
          <w:color w:val="202124"/>
          <w:sz w:val="36"/>
          <w:szCs w:val="36"/>
          <w:u w:val="single"/>
        </w:rPr>
      </w:pPr>
    </w:p>
    <w:p w14:paraId="0E9B8870" w14:textId="20194F4C" w:rsidR="003B3A49" w:rsidRDefault="003B3A49" w:rsidP="003B3A49">
      <w:pPr>
        <w:shd w:val="clear" w:color="auto" w:fill="FFFFFF"/>
        <w:spacing w:after="0" w:line="240" w:lineRule="auto"/>
        <w:jc w:val="center"/>
        <w:rPr>
          <w:rFonts w:ascii="Arial" w:eastAsia="Times New Roman" w:hAnsi="Arial" w:cs="Arial"/>
          <w:b/>
          <w:bCs/>
          <w:color w:val="202124"/>
          <w:sz w:val="36"/>
          <w:szCs w:val="36"/>
          <w:u w:val="single"/>
        </w:rPr>
      </w:pPr>
      <w:r>
        <w:rPr>
          <w:rFonts w:ascii="Arial" w:eastAsia="Times New Roman" w:hAnsi="Arial" w:cs="Arial"/>
          <w:b/>
          <w:bCs/>
          <w:color w:val="202124"/>
          <w:sz w:val="36"/>
          <w:szCs w:val="36"/>
          <w:u w:val="single"/>
        </w:rPr>
        <w:t>2</w:t>
      </w:r>
      <w:r>
        <w:rPr>
          <w:rFonts w:ascii="Arial" w:eastAsia="Times New Roman" w:hAnsi="Arial" w:cs="Arial"/>
          <w:b/>
          <w:bCs/>
          <w:color w:val="202124"/>
          <w:sz w:val="36"/>
          <w:szCs w:val="36"/>
          <w:u w:val="single"/>
        </w:rPr>
        <w:t>-</w:t>
      </w:r>
      <w:r>
        <w:rPr>
          <w:rFonts w:ascii="Arial" w:eastAsia="Times New Roman" w:hAnsi="Arial" w:cs="Arial"/>
          <w:b/>
          <w:bCs/>
          <w:color w:val="202124"/>
          <w:sz w:val="36"/>
          <w:szCs w:val="36"/>
          <w:u w:val="single"/>
        </w:rPr>
        <w:t>Capital Asset</w:t>
      </w:r>
    </w:p>
    <w:p w14:paraId="0603C6F1" w14:textId="1A8DB3DC" w:rsidR="003B3A49" w:rsidRDefault="003B3A49" w:rsidP="003B3A49">
      <w:pPr>
        <w:shd w:val="clear" w:color="auto" w:fill="FFFFFF"/>
        <w:spacing w:after="0" w:line="240" w:lineRule="auto"/>
        <w:rPr>
          <w:rFonts w:ascii="Arial" w:hAnsi="Arial" w:cs="Arial"/>
          <w:color w:val="202124"/>
          <w:shd w:val="clear" w:color="auto" w:fill="FFFFFF"/>
        </w:rPr>
      </w:pPr>
      <w:r>
        <w:rPr>
          <w:rFonts w:ascii="Arial" w:hAnsi="Arial" w:cs="Arial"/>
          <w:color w:val="202124"/>
          <w:shd w:val="clear" w:color="auto" w:fill="FFFFFF"/>
        </w:rPr>
        <w:t>Capital assets are significant pieces of property such as </w:t>
      </w:r>
      <w:r>
        <w:rPr>
          <w:rFonts w:ascii="Arial" w:hAnsi="Arial" w:cs="Arial"/>
          <w:b/>
          <w:bCs/>
          <w:color w:val="202124"/>
          <w:shd w:val="clear" w:color="auto" w:fill="FFFFFF"/>
        </w:rPr>
        <w:t>homes, cars, investment properties, stocks, bonds, and even collectibles or art</w:t>
      </w:r>
      <w:r>
        <w:rPr>
          <w:rFonts w:ascii="Arial" w:hAnsi="Arial" w:cs="Arial"/>
          <w:color w:val="202124"/>
          <w:shd w:val="clear" w:color="auto" w:fill="FFFFFF"/>
        </w:rPr>
        <w:t>. For businesses, a capital asset is an asset with a useful life longer than a year that is not intended for sale in the regular course of the business's operation.</w:t>
      </w:r>
    </w:p>
    <w:p w14:paraId="67A1CD23" w14:textId="77777777" w:rsidR="003B3A49" w:rsidRDefault="003B3A49" w:rsidP="003B3A49">
      <w:pPr>
        <w:shd w:val="clear" w:color="auto" w:fill="FFFFFF"/>
        <w:spacing w:after="0" w:line="240" w:lineRule="auto"/>
        <w:jc w:val="center"/>
        <w:rPr>
          <w:rFonts w:ascii="Arial" w:eastAsia="Times New Roman" w:hAnsi="Arial" w:cs="Arial"/>
          <w:b/>
          <w:bCs/>
          <w:color w:val="202124"/>
          <w:sz w:val="36"/>
          <w:szCs w:val="36"/>
          <w:u w:val="single"/>
        </w:rPr>
      </w:pPr>
    </w:p>
    <w:p w14:paraId="4A350E69" w14:textId="18C1F1DC" w:rsidR="003B3A49" w:rsidRDefault="003B3A49" w:rsidP="003B3A49">
      <w:pPr>
        <w:shd w:val="clear" w:color="auto" w:fill="FFFFFF"/>
        <w:spacing w:after="0" w:line="240" w:lineRule="auto"/>
        <w:jc w:val="center"/>
        <w:rPr>
          <w:rFonts w:ascii="Arial" w:eastAsia="Times New Roman" w:hAnsi="Arial" w:cs="Arial"/>
          <w:b/>
          <w:bCs/>
          <w:color w:val="202124"/>
          <w:sz w:val="36"/>
          <w:szCs w:val="36"/>
          <w:u w:val="single"/>
        </w:rPr>
      </w:pPr>
      <w:r>
        <w:rPr>
          <w:rFonts w:ascii="Arial" w:eastAsia="Times New Roman" w:hAnsi="Arial" w:cs="Arial"/>
          <w:b/>
          <w:bCs/>
          <w:color w:val="202124"/>
          <w:sz w:val="36"/>
          <w:szCs w:val="36"/>
          <w:u w:val="single"/>
        </w:rPr>
        <w:t>3</w:t>
      </w:r>
      <w:r>
        <w:rPr>
          <w:rFonts w:ascii="Arial" w:eastAsia="Times New Roman" w:hAnsi="Arial" w:cs="Arial"/>
          <w:b/>
          <w:bCs/>
          <w:color w:val="202124"/>
          <w:sz w:val="36"/>
          <w:szCs w:val="36"/>
          <w:u w:val="single"/>
        </w:rPr>
        <w:t>-</w:t>
      </w:r>
      <w:r>
        <w:rPr>
          <w:rFonts w:ascii="Arial" w:eastAsia="Times New Roman" w:hAnsi="Arial" w:cs="Arial"/>
          <w:b/>
          <w:bCs/>
          <w:color w:val="202124"/>
          <w:sz w:val="36"/>
          <w:szCs w:val="36"/>
          <w:u w:val="single"/>
        </w:rPr>
        <w:t xml:space="preserve">Difference </w:t>
      </w:r>
      <w:proofErr w:type="spellStart"/>
      <w:r>
        <w:rPr>
          <w:rFonts w:ascii="Arial" w:eastAsia="Times New Roman" w:hAnsi="Arial" w:cs="Arial"/>
          <w:b/>
          <w:bCs/>
          <w:color w:val="202124"/>
          <w:sz w:val="36"/>
          <w:szCs w:val="36"/>
          <w:u w:val="single"/>
        </w:rPr>
        <w:t>bw</w:t>
      </w:r>
      <w:proofErr w:type="spellEnd"/>
      <w:r>
        <w:rPr>
          <w:rFonts w:ascii="Arial" w:eastAsia="Times New Roman" w:hAnsi="Arial" w:cs="Arial"/>
          <w:b/>
          <w:bCs/>
          <w:color w:val="202124"/>
          <w:sz w:val="36"/>
          <w:szCs w:val="36"/>
          <w:u w:val="single"/>
        </w:rPr>
        <w:t xml:space="preserve"> normal and transitional tax year</w:t>
      </w:r>
    </w:p>
    <w:p w14:paraId="3CA0991C" w14:textId="77777777" w:rsidR="003B3A49" w:rsidRDefault="003B3A49" w:rsidP="003B3A49">
      <w:pPr>
        <w:shd w:val="clear" w:color="auto" w:fill="FFFFFF"/>
        <w:spacing w:after="0" w:line="240" w:lineRule="auto"/>
        <w:jc w:val="center"/>
        <w:rPr>
          <w:rFonts w:ascii="Verdana" w:hAnsi="Verdana"/>
          <w:b/>
          <w:bCs/>
          <w:color w:val="303030"/>
          <w:sz w:val="16"/>
          <w:szCs w:val="16"/>
          <w:shd w:val="clear" w:color="auto" w:fill="FFFFFF"/>
        </w:rPr>
      </w:pPr>
    </w:p>
    <w:p w14:paraId="63684522" w14:textId="2BBEB7F4" w:rsidR="003B3A49" w:rsidRDefault="003B3A49" w:rsidP="003B3A49">
      <w:pPr>
        <w:shd w:val="clear" w:color="auto" w:fill="FFFFFF"/>
        <w:spacing w:after="0" w:line="240" w:lineRule="auto"/>
        <w:jc w:val="center"/>
        <w:rPr>
          <w:rFonts w:ascii="Arial" w:hAnsi="Arial" w:cs="Arial"/>
          <w:color w:val="303030"/>
          <w:shd w:val="clear" w:color="auto" w:fill="FFFFFF"/>
        </w:rPr>
      </w:pPr>
      <w:r w:rsidRPr="003B3A49">
        <w:rPr>
          <w:rFonts w:ascii="Arial" w:hAnsi="Arial" w:cs="Arial"/>
          <w:b/>
          <w:bCs/>
          <w:color w:val="303030"/>
          <w:shd w:val="clear" w:color="auto" w:fill="FFFFFF"/>
        </w:rPr>
        <w:t>Normal Tax Year</w:t>
      </w:r>
      <w:r w:rsidRPr="003B3A49">
        <w:rPr>
          <w:rFonts w:ascii="Arial" w:hAnsi="Arial" w:cs="Arial"/>
          <w:color w:val="303030"/>
        </w:rPr>
        <w:br/>
      </w:r>
      <w:r w:rsidRPr="003B3A49">
        <w:rPr>
          <w:rFonts w:ascii="Arial" w:hAnsi="Arial" w:cs="Arial"/>
          <w:color w:val="303030"/>
        </w:rPr>
        <w:br/>
      </w:r>
      <w:r w:rsidRPr="003B3A49">
        <w:rPr>
          <w:rFonts w:ascii="Arial" w:hAnsi="Arial" w:cs="Arial"/>
          <w:color w:val="303030"/>
          <w:shd w:val="clear" w:color="auto" w:fill="FFFFFF"/>
        </w:rPr>
        <w:t>A period of 12 months ending on 30th June</w:t>
      </w:r>
      <w:r w:rsidRPr="003B3A49">
        <w:rPr>
          <w:rFonts w:ascii="Arial" w:hAnsi="Arial" w:cs="Arial"/>
          <w:color w:val="303030"/>
        </w:rPr>
        <w:br/>
      </w:r>
      <w:r w:rsidRPr="003B3A49">
        <w:rPr>
          <w:rFonts w:ascii="Arial" w:hAnsi="Arial" w:cs="Arial"/>
          <w:color w:val="303030"/>
          <w:shd w:val="clear" w:color="auto" w:fill="FFFFFF"/>
        </w:rPr>
        <w:t>1-07-2011---to---30-06-2012</w:t>
      </w:r>
      <w:r w:rsidRPr="003B3A49">
        <w:rPr>
          <w:rFonts w:ascii="Arial" w:hAnsi="Arial" w:cs="Arial"/>
          <w:color w:val="303030"/>
        </w:rPr>
        <w:br/>
      </w:r>
      <w:r w:rsidRPr="003B3A49">
        <w:rPr>
          <w:rFonts w:ascii="Arial" w:hAnsi="Arial" w:cs="Arial"/>
          <w:color w:val="303030"/>
        </w:rPr>
        <w:br/>
      </w:r>
      <w:r w:rsidRPr="003B3A49">
        <w:rPr>
          <w:rFonts w:ascii="Arial" w:hAnsi="Arial" w:cs="Arial"/>
          <w:b/>
          <w:bCs/>
          <w:color w:val="303030"/>
          <w:shd w:val="clear" w:color="auto" w:fill="FFFFFF"/>
        </w:rPr>
        <w:t>Special Tax Year</w:t>
      </w:r>
      <w:r w:rsidRPr="003B3A49">
        <w:rPr>
          <w:rFonts w:ascii="Arial" w:hAnsi="Arial" w:cs="Arial"/>
          <w:color w:val="303030"/>
        </w:rPr>
        <w:br/>
      </w:r>
      <w:r w:rsidRPr="003B3A49">
        <w:rPr>
          <w:rFonts w:ascii="Arial" w:hAnsi="Arial" w:cs="Arial"/>
          <w:color w:val="303030"/>
        </w:rPr>
        <w:br/>
      </w:r>
      <w:r w:rsidRPr="003B3A49">
        <w:rPr>
          <w:rFonts w:ascii="Arial" w:hAnsi="Arial" w:cs="Arial"/>
          <w:color w:val="303030"/>
          <w:shd w:val="clear" w:color="auto" w:fill="FFFFFF"/>
        </w:rPr>
        <w:t>A period of 12 months ending on any date other than 30th June</w:t>
      </w:r>
      <w:r w:rsidRPr="003B3A49">
        <w:rPr>
          <w:rFonts w:ascii="Arial" w:hAnsi="Arial" w:cs="Arial"/>
          <w:color w:val="303030"/>
        </w:rPr>
        <w:br/>
      </w:r>
      <w:r w:rsidRPr="003B3A49">
        <w:rPr>
          <w:rFonts w:ascii="Arial" w:hAnsi="Arial" w:cs="Arial"/>
          <w:color w:val="303030"/>
          <w:shd w:val="clear" w:color="auto" w:fill="FFFFFF"/>
        </w:rPr>
        <w:t>1-10-2012---to---30-09-2013</w:t>
      </w:r>
      <w:r w:rsidRPr="003B3A49">
        <w:rPr>
          <w:rFonts w:ascii="Arial" w:hAnsi="Arial" w:cs="Arial"/>
          <w:color w:val="303030"/>
        </w:rPr>
        <w:br/>
      </w:r>
      <w:r w:rsidRPr="003B3A49">
        <w:rPr>
          <w:rFonts w:ascii="Arial" w:hAnsi="Arial" w:cs="Arial"/>
          <w:color w:val="303030"/>
        </w:rPr>
        <w:br/>
      </w:r>
      <w:r w:rsidRPr="003B3A49">
        <w:rPr>
          <w:rFonts w:ascii="Arial" w:hAnsi="Arial" w:cs="Arial"/>
          <w:b/>
          <w:bCs/>
          <w:color w:val="303030"/>
          <w:shd w:val="clear" w:color="auto" w:fill="FFFFFF"/>
        </w:rPr>
        <w:t>Transitional Tax Year</w:t>
      </w:r>
      <w:r w:rsidRPr="003B3A49">
        <w:rPr>
          <w:rFonts w:ascii="Arial" w:hAnsi="Arial" w:cs="Arial"/>
          <w:color w:val="303030"/>
        </w:rPr>
        <w:br/>
      </w:r>
      <w:r w:rsidRPr="003B3A49">
        <w:rPr>
          <w:rFonts w:ascii="Arial" w:hAnsi="Arial" w:cs="Arial"/>
          <w:color w:val="303030"/>
        </w:rPr>
        <w:br/>
      </w:r>
      <w:r w:rsidRPr="003B3A49">
        <w:rPr>
          <w:rFonts w:ascii="Arial" w:hAnsi="Arial" w:cs="Arial"/>
          <w:color w:val="303030"/>
          <w:shd w:val="clear" w:color="auto" w:fill="FFFFFF"/>
        </w:rPr>
        <w:t>Whenever there is a change in tax year the period in between the normal tax year and special tax year is treat as transitional tax year.</w:t>
      </w:r>
    </w:p>
    <w:p w14:paraId="4EA3C5C9" w14:textId="7BE7880F" w:rsidR="003B3A49" w:rsidRDefault="003B3A49" w:rsidP="003B3A49">
      <w:pPr>
        <w:shd w:val="clear" w:color="auto" w:fill="FFFFFF"/>
        <w:spacing w:after="0" w:line="240" w:lineRule="auto"/>
        <w:jc w:val="center"/>
        <w:rPr>
          <w:rFonts w:ascii="Arial" w:hAnsi="Arial" w:cs="Arial"/>
          <w:color w:val="303030"/>
          <w:shd w:val="clear" w:color="auto" w:fill="FFFFFF"/>
        </w:rPr>
      </w:pPr>
    </w:p>
    <w:p w14:paraId="5FF14961" w14:textId="0DD7A750" w:rsidR="003B3A49" w:rsidRDefault="003B3A49" w:rsidP="003B3A49">
      <w:pPr>
        <w:shd w:val="clear" w:color="auto" w:fill="FFFFFF"/>
        <w:spacing w:after="0" w:line="240" w:lineRule="auto"/>
        <w:jc w:val="center"/>
        <w:rPr>
          <w:rFonts w:ascii="Arial" w:eastAsia="Times New Roman" w:hAnsi="Arial" w:cs="Arial"/>
          <w:b/>
          <w:bCs/>
          <w:color w:val="202124"/>
          <w:sz w:val="36"/>
          <w:szCs w:val="36"/>
          <w:u w:val="single"/>
        </w:rPr>
      </w:pPr>
      <w:r>
        <w:rPr>
          <w:rFonts w:ascii="Arial" w:eastAsia="Times New Roman" w:hAnsi="Arial" w:cs="Arial"/>
          <w:b/>
          <w:bCs/>
          <w:color w:val="202124"/>
          <w:sz w:val="36"/>
          <w:szCs w:val="36"/>
          <w:u w:val="single"/>
        </w:rPr>
        <w:t>4</w:t>
      </w:r>
      <w:r>
        <w:rPr>
          <w:rFonts w:ascii="Arial" w:eastAsia="Times New Roman" w:hAnsi="Arial" w:cs="Arial"/>
          <w:b/>
          <w:bCs/>
          <w:color w:val="202124"/>
          <w:sz w:val="36"/>
          <w:szCs w:val="36"/>
          <w:u w:val="single"/>
        </w:rPr>
        <w:t>-</w:t>
      </w:r>
      <w:r>
        <w:rPr>
          <w:rFonts w:ascii="Arial" w:eastAsia="Times New Roman" w:hAnsi="Arial" w:cs="Arial"/>
          <w:b/>
          <w:bCs/>
          <w:color w:val="202124"/>
          <w:sz w:val="36"/>
          <w:szCs w:val="36"/>
          <w:u w:val="single"/>
        </w:rPr>
        <w:t xml:space="preserve">two examples of partly agriculture and </w:t>
      </w:r>
      <w:proofErr w:type="spellStart"/>
      <w:proofErr w:type="gramStart"/>
      <w:r>
        <w:rPr>
          <w:rFonts w:ascii="Arial" w:eastAsia="Times New Roman" w:hAnsi="Arial" w:cs="Arial"/>
          <w:b/>
          <w:bCs/>
          <w:color w:val="202124"/>
          <w:sz w:val="36"/>
          <w:szCs w:val="36"/>
          <w:u w:val="single"/>
        </w:rPr>
        <w:t>non agricultural</w:t>
      </w:r>
      <w:proofErr w:type="spellEnd"/>
      <w:proofErr w:type="gramEnd"/>
      <w:r>
        <w:rPr>
          <w:rFonts w:ascii="Arial" w:eastAsia="Times New Roman" w:hAnsi="Arial" w:cs="Arial"/>
          <w:b/>
          <w:bCs/>
          <w:color w:val="202124"/>
          <w:sz w:val="36"/>
          <w:szCs w:val="36"/>
          <w:u w:val="single"/>
        </w:rPr>
        <w:t xml:space="preserve"> income</w:t>
      </w:r>
    </w:p>
    <w:p w14:paraId="253A4F41" w14:textId="39718986" w:rsidR="003B3A49" w:rsidRDefault="003B3A49" w:rsidP="003B3A49">
      <w:pPr>
        <w:shd w:val="clear" w:color="auto" w:fill="FFFFFF"/>
        <w:spacing w:after="0" w:line="240" w:lineRule="auto"/>
        <w:rPr>
          <w:rFonts w:ascii="Arial" w:hAnsi="Arial" w:cs="Arial"/>
          <w:b/>
          <w:bCs/>
          <w:color w:val="202124"/>
          <w:shd w:val="clear" w:color="auto" w:fill="FFFFFF"/>
        </w:rPr>
      </w:pPr>
      <w:r>
        <w:rPr>
          <w:rFonts w:ascii="Arial" w:hAnsi="Arial" w:cs="Arial"/>
          <w:b/>
          <w:bCs/>
          <w:color w:val="202124"/>
          <w:shd w:val="clear" w:color="auto" w:fill="FFFFFF"/>
        </w:rPr>
        <w:lastRenderedPageBreak/>
        <w:t>Growing &amp; Manufacturing of tea</w:t>
      </w:r>
    </w:p>
    <w:p w14:paraId="53B5B4DE" w14:textId="041BBD9B" w:rsidR="003B3A49" w:rsidRDefault="003B3A49" w:rsidP="003B3A49">
      <w:pPr>
        <w:shd w:val="clear" w:color="auto" w:fill="FFFFFF"/>
        <w:spacing w:after="0" w:line="240" w:lineRule="auto"/>
        <w:rPr>
          <w:rStyle w:val="etvozd"/>
          <w:rFonts w:ascii="Arial" w:hAnsi="Arial" w:cs="Arial"/>
          <w:b/>
          <w:bCs/>
          <w:color w:val="202124"/>
          <w:shd w:val="clear" w:color="auto" w:fill="FFFFFF"/>
        </w:rPr>
      </w:pPr>
      <w:r>
        <w:rPr>
          <w:rFonts w:ascii="Arial" w:hAnsi="Arial" w:cs="Arial"/>
          <w:b/>
          <w:bCs/>
          <w:color w:val="202124"/>
          <w:shd w:val="clear" w:color="auto" w:fill="FFFFFF"/>
        </w:rPr>
        <w:t>Growing &amp; Manufacturing of coffee</w:t>
      </w:r>
    </w:p>
    <w:p w14:paraId="101470D0" w14:textId="1E9FB7E2" w:rsidR="003B3A49" w:rsidRDefault="003B3A49" w:rsidP="003B3A49">
      <w:pPr>
        <w:shd w:val="clear" w:color="auto" w:fill="FFFFFF"/>
        <w:spacing w:after="0" w:line="240" w:lineRule="auto"/>
        <w:rPr>
          <w:rFonts w:ascii="Arial" w:hAnsi="Arial" w:cs="Arial"/>
          <w:b/>
          <w:bCs/>
          <w:color w:val="202124"/>
          <w:shd w:val="clear" w:color="auto" w:fill="FFFFFF"/>
        </w:rPr>
      </w:pPr>
      <w:r>
        <w:rPr>
          <w:rFonts w:ascii="Arial" w:hAnsi="Arial" w:cs="Arial"/>
          <w:b/>
          <w:bCs/>
          <w:color w:val="202124"/>
          <w:shd w:val="clear" w:color="auto" w:fill="FFFFFF"/>
        </w:rPr>
        <w:t>Growing &amp; Manufacturing of rubbe</w:t>
      </w:r>
      <w:r>
        <w:rPr>
          <w:rFonts w:ascii="Arial" w:hAnsi="Arial" w:cs="Arial"/>
          <w:b/>
          <w:bCs/>
          <w:color w:val="202124"/>
          <w:shd w:val="clear" w:color="auto" w:fill="FFFFFF"/>
        </w:rPr>
        <w:t>r</w:t>
      </w:r>
    </w:p>
    <w:p w14:paraId="705E1E42" w14:textId="65BBBCEA" w:rsidR="003B3A49" w:rsidRDefault="003B3A49" w:rsidP="003B3A49">
      <w:pPr>
        <w:shd w:val="clear" w:color="auto" w:fill="FFFFFF"/>
        <w:spacing w:after="0" w:line="240" w:lineRule="auto"/>
        <w:rPr>
          <w:rFonts w:ascii="Arial" w:hAnsi="Arial" w:cs="Arial"/>
          <w:b/>
          <w:bCs/>
          <w:color w:val="202124"/>
          <w:shd w:val="clear" w:color="auto" w:fill="FFFFFF"/>
        </w:rPr>
      </w:pPr>
    </w:p>
    <w:p w14:paraId="6E4B4F6C" w14:textId="77777777" w:rsidR="003B3A49" w:rsidRDefault="003B3A49" w:rsidP="003B3A49">
      <w:pPr>
        <w:shd w:val="clear" w:color="auto" w:fill="FFFFFF"/>
        <w:spacing w:after="0" w:line="240" w:lineRule="auto"/>
        <w:rPr>
          <w:rFonts w:ascii="Arial" w:eastAsia="Times New Roman" w:hAnsi="Arial" w:cs="Arial"/>
          <w:b/>
          <w:bCs/>
          <w:color w:val="202124"/>
          <w:sz w:val="36"/>
          <w:szCs w:val="36"/>
          <w:u w:val="single"/>
        </w:rPr>
      </w:pPr>
    </w:p>
    <w:p w14:paraId="5B265816" w14:textId="60871DB5" w:rsidR="003B3A49" w:rsidRDefault="003B3A49" w:rsidP="003B3A49">
      <w:pPr>
        <w:shd w:val="clear" w:color="auto" w:fill="FFFFFF"/>
        <w:spacing w:after="0" w:line="240" w:lineRule="auto"/>
        <w:jc w:val="center"/>
        <w:rPr>
          <w:rFonts w:ascii="Arial" w:eastAsia="Times New Roman" w:hAnsi="Arial" w:cs="Arial"/>
          <w:b/>
          <w:bCs/>
          <w:color w:val="202124"/>
          <w:sz w:val="36"/>
          <w:szCs w:val="36"/>
          <w:u w:val="single"/>
        </w:rPr>
      </w:pPr>
      <w:r>
        <w:rPr>
          <w:rFonts w:ascii="Arial" w:eastAsia="Times New Roman" w:hAnsi="Arial" w:cs="Arial"/>
          <w:b/>
          <w:bCs/>
          <w:color w:val="202124"/>
          <w:sz w:val="36"/>
          <w:szCs w:val="36"/>
          <w:u w:val="single"/>
        </w:rPr>
        <w:t>5</w:t>
      </w:r>
      <w:r>
        <w:rPr>
          <w:rFonts w:ascii="Arial" w:eastAsia="Times New Roman" w:hAnsi="Arial" w:cs="Arial"/>
          <w:b/>
          <w:bCs/>
          <w:color w:val="202124"/>
          <w:sz w:val="36"/>
          <w:szCs w:val="36"/>
          <w:u w:val="single"/>
        </w:rPr>
        <w:t>-</w:t>
      </w:r>
      <w:r>
        <w:rPr>
          <w:rFonts w:ascii="Arial" w:eastAsia="Times New Roman" w:hAnsi="Arial" w:cs="Arial"/>
          <w:b/>
          <w:bCs/>
          <w:color w:val="202124"/>
          <w:sz w:val="36"/>
          <w:szCs w:val="36"/>
          <w:u w:val="single"/>
        </w:rPr>
        <w:t>RCT</w:t>
      </w:r>
    </w:p>
    <w:p w14:paraId="3A8B91CE" w14:textId="3AB7C684" w:rsidR="003B3A49" w:rsidRDefault="003B3A49" w:rsidP="003B3A49">
      <w:pPr>
        <w:shd w:val="clear" w:color="auto" w:fill="FFFFFF"/>
        <w:spacing w:after="0" w:line="240" w:lineRule="auto"/>
        <w:rPr>
          <w:rFonts w:ascii="Arial" w:hAnsi="Arial" w:cs="Arial"/>
          <w:color w:val="202124"/>
          <w:shd w:val="clear" w:color="auto" w:fill="FFFFFF"/>
        </w:rPr>
      </w:pPr>
      <w:r>
        <w:rPr>
          <w:rFonts w:ascii="Arial" w:hAnsi="Arial" w:cs="Arial"/>
          <w:color w:val="202124"/>
          <w:shd w:val="clear" w:color="auto" w:fill="FFFFFF"/>
        </w:rPr>
        <w:t>RCT is </w:t>
      </w:r>
      <w:r>
        <w:rPr>
          <w:rFonts w:ascii="Arial" w:hAnsi="Arial" w:cs="Arial"/>
          <w:b/>
          <w:bCs/>
          <w:color w:val="202124"/>
          <w:shd w:val="clear" w:color="auto" w:fill="FFFFFF"/>
        </w:rPr>
        <w:t>a withholding tax that applies to certain payments by principal contractors to subcontractors in the construction, forestry and meat-processing industries</w:t>
      </w:r>
      <w:r>
        <w:rPr>
          <w:rFonts w:ascii="Arial" w:hAnsi="Arial" w:cs="Arial"/>
          <w:color w:val="202124"/>
          <w:shd w:val="clear" w:color="auto" w:fill="FFFFFF"/>
        </w:rPr>
        <w:t>. The rates of tax are 0%, 20% and 35%</w:t>
      </w:r>
    </w:p>
    <w:p w14:paraId="3747800F" w14:textId="4D088B93" w:rsidR="00582251" w:rsidRDefault="00582251" w:rsidP="003B3A49">
      <w:pPr>
        <w:shd w:val="clear" w:color="auto" w:fill="FFFFFF"/>
        <w:spacing w:after="0" w:line="240" w:lineRule="auto"/>
        <w:rPr>
          <w:rFonts w:ascii="Arial" w:hAnsi="Arial" w:cs="Arial"/>
          <w:color w:val="202124"/>
          <w:shd w:val="clear" w:color="auto" w:fill="FFFFFF"/>
        </w:rPr>
      </w:pPr>
    </w:p>
    <w:p w14:paraId="26A0D7FC" w14:textId="6A3279B8" w:rsidR="00582251" w:rsidRDefault="00582251" w:rsidP="00582251">
      <w:pPr>
        <w:shd w:val="clear" w:color="auto" w:fill="FFFFFF"/>
        <w:spacing w:after="0" w:line="240" w:lineRule="auto"/>
        <w:jc w:val="center"/>
        <w:rPr>
          <w:rFonts w:ascii="Arial" w:eastAsia="Times New Roman" w:hAnsi="Arial" w:cs="Arial"/>
          <w:b/>
          <w:bCs/>
          <w:color w:val="202124"/>
          <w:sz w:val="36"/>
          <w:szCs w:val="36"/>
          <w:u w:val="single"/>
        </w:rPr>
      </w:pPr>
      <w:r>
        <w:rPr>
          <w:rFonts w:ascii="Arial" w:eastAsia="Times New Roman" w:hAnsi="Arial" w:cs="Arial"/>
          <w:b/>
          <w:bCs/>
          <w:color w:val="202124"/>
          <w:sz w:val="36"/>
          <w:szCs w:val="36"/>
          <w:u w:val="single"/>
        </w:rPr>
        <w:t>6</w:t>
      </w:r>
      <w:r>
        <w:rPr>
          <w:rFonts w:ascii="Arial" w:eastAsia="Times New Roman" w:hAnsi="Arial" w:cs="Arial"/>
          <w:b/>
          <w:bCs/>
          <w:color w:val="202124"/>
          <w:sz w:val="36"/>
          <w:szCs w:val="36"/>
          <w:u w:val="single"/>
        </w:rPr>
        <w:t>-</w:t>
      </w:r>
      <w:r>
        <w:rPr>
          <w:rFonts w:ascii="Arial" w:eastAsia="Times New Roman" w:hAnsi="Arial" w:cs="Arial"/>
          <w:b/>
          <w:bCs/>
          <w:color w:val="202124"/>
          <w:sz w:val="36"/>
          <w:szCs w:val="36"/>
          <w:u w:val="single"/>
        </w:rPr>
        <w:t xml:space="preserve">importance of differentiate </w:t>
      </w:r>
      <w:proofErr w:type="spellStart"/>
      <w:r>
        <w:rPr>
          <w:rFonts w:ascii="Arial" w:eastAsia="Times New Roman" w:hAnsi="Arial" w:cs="Arial"/>
          <w:b/>
          <w:bCs/>
          <w:color w:val="202124"/>
          <w:sz w:val="36"/>
          <w:szCs w:val="36"/>
          <w:u w:val="single"/>
        </w:rPr>
        <w:t>bw</w:t>
      </w:r>
      <w:proofErr w:type="spellEnd"/>
      <w:r>
        <w:rPr>
          <w:rFonts w:ascii="Arial" w:eastAsia="Times New Roman" w:hAnsi="Arial" w:cs="Arial"/>
          <w:b/>
          <w:bCs/>
          <w:color w:val="202124"/>
          <w:sz w:val="36"/>
          <w:szCs w:val="36"/>
          <w:u w:val="single"/>
        </w:rPr>
        <w:t xml:space="preserve"> revenue and capital expenditure</w:t>
      </w:r>
    </w:p>
    <w:p w14:paraId="2D746488" w14:textId="58D1BD95" w:rsidR="00582251" w:rsidRDefault="00582251" w:rsidP="00582251">
      <w:pPr>
        <w:shd w:val="clear" w:color="auto" w:fill="FFFFFF"/>
        <w:spacing w:after="0" w:line="240" w:lineRule="auto"/>
        <w:rPr>
          <w:rFonts w:ascii="Arial" w:hAnsi="Arial" w:cs="Arial"/>
          <w:color w:val="202124"/>
          <w:shd w:val="clear" w:color="auto" w:fill="FFFFFF"/>
        </w:rPr>
      </w:pPr>
      <w:r>
        <w:rPr>
          <w:rFonts w:ascii="Arial" w:hAnsi="Arial" w:cs="Arial"/>
          <w:color w:val="202124"/>
          <w:shd w:val="clear" w:color="auto" w:fill="FFFFFF"/>
        </w:rPr>
        <w:t>Typically, the purpose of CAPEX is </w:t>
      </w:r>
      <w:r>
        <w:rPr>
          <w:rFonts w:ascii="Arial" w:hAnsi="Arial" w:cs="Arial"/>
          <w:b/>
          <w:bCs/>
          <w:color w:val="202124"/>
          <w:shd w:val="clear" w:color="auto" w:fill="FFFFFF"/>
        </w:rPr>
        <w:t>to expand a company's ability to generate revenue and earnings</w:t>
      </w:r>
      <w:r>
        <w:rPr>
          <w:rFonts w:ascii="Arial" w:hAnsi="Arial" w:cs="Arial"/>
          <w:color w:val="202124"/>
          <w:shd w:val="clear" w:color="auto" w:fill="FFFFFF"/>
        </w:rPr>
        <w:t>. Conversely, revenue expenditures are the operational expenses for running the day-to-day business and the maintenance costs that are necessary to keep the asset in working order.</w:t>
      </w:r>
      <w:r>
        <w:rPr>
          <w:rFonts w:ascii="Arial" w:hAnsi="Arial" w:cs="Arial"/>
          <w:color w:val="202124"/>
          <w:shd w:val="clear" w:color="auto" w:fill="FFFFFF"/>
        </w:rPr>
        <w:t xml:space="preserve"> </w:t>
      </w:r>
      <w:r>
        <w:rPr>
          <w:rFonts w:ascii="Arial" w:hAnsi="Arial" w:cs="Arial"/>
          <w:color w:val="202124"/>
          <w:shd w:val="clear" w:color="auto" w:fill="FFFFFF"/>
        </w:rPr>
        <w:t>In simple terms, </w:t>
      </w:r>
      <w:r>
        <w:rPr>
          <w:rFonts w:ascii="Arial" w:hAnsi="Arial" w:cs="Arial"/>
          <w:b/>
          <w:bCs/>
          <w:color w:val="202124"/>
          <w:shd w:val="clear" w:color="auto" w:fill="FFFFFF"/>
        </w:rPr>
        <w:t>capital receipts don't affect the profit or loss of the business</w:t>
      </w:r>
      <w:r>
        <w:rPr>
          <w:rFonts w:ascii="Arial" w:hAnsi="Arial" w:cs="Arial"/>
          <w:color w:val="202124"/>
          <w:shd w:val="clear" w:color="auto" w:fill="FFFFFF"/>
        </w:rPr>
        <w:t>; for example, we can say that the sale of long-term assets is one sort of capital receipt. But revenue receipts affect the profit or loss of a company.</w:t>
      </w:r>
    </w:p>
    <w:p w14:paraId="6CB9F29B" w14:textId="77777777" w:rsidR="00582251" w:rsidRDefault="00582251" w:rsidP="00582251">
      <w:pPr>
        <w:shd w:val="clear" w:color="auto" w:fill="FFFFFF"/>
        <w:spacing w:after="0" w:line="240" w:lineRule="auto"/>
        <w:jc w:val="center"/>
        <w:rPr>
          <w:rFonts w:ascii="Arial" w:eastAsia="Times New Roman" w:hAnsi="Arial" w:cs="Arial"/>
          <w:b/>
          <w:bCs/>
          <w:color w:val="202124"/>
          <w:sz w:val="36"/>
          <w:szCs w:val="36"/>
          <w:u w:val="single"/>
        </w:rPr>
      </w:pPr>
    </w:p>
    <w:p w14:paraId="47763E6C" w14:textId="47603B19" w:rsidR="00582251" w:rsidRDefault="00582251" w:rsidP="00582251">
      <w:pPr>
        <w:shd w:val="clear" w:color="auto" w:fill="FFFFFF"/>
        <w:spacing w:after="0" w:line="240" w:lineRule="auto"/>
        <w:jc w:val="center"/>
        <w:rPr>
          <w:rFonts w:ascii="Arial" w:eastAsia="Times New Roman" w:hAnsi="Arial" w:cs="Arial"/>
          <w:b/>
          <w:bCs/>
          <w:color w:val="202124"/>
          <w:sz w:val="36"/>
          <w:szCs w:val="36"/>
          <w:u w:val="single"/>
        </w:rPr>
      </w:pPr>
      <w:r>
        <w:rPr>
          <w:rFonts w:ascii="Arial" w:eastAsia="Times New Roman" w:hAnsi="Arial" w:cs="Arial"/>
          <w:b/>
          <w:bCs/>
          <w:color w:val="202124"/>
          <w:sz w:val="36"/>
          <w:szCs w:val="36"/>
          <w:u w:val="single"/>
        </w:rPr>
        <w:t>7</w:t>
      </w:r>
      <w:r>
        <w:rPr>
          <w:rFonts w:ascii="Arial" w:eastAsia="Times New Roman" w:hAnsi="Arial" w:cs="Arial"/>
          <w:b/>
          <w:bCs/>
          <w:color w:val="202124"/>
          <w:sz w:val="36"/>
          <w:szCs w:val="36"/>
          <w:u w:val="single"/>
        </w:rPr>
        <w:t>-</w:t>
      </w:r>
      <w:r>
        <w:rPr>
          <w:rFonts w:ascii="Arial" w:eastAsia="Times New Roman" w:hAnsi="Arial" w:cs="Arial"/>
          <w:b/>
          <w:bCs/>
          <w:color w:val="202124"/>
          <w:sz w:val="36"/>
          <w:szCs w:val="36"/>
          <w:u w:val="single"/>
        </w:rPr>
        <w:t xml:space="preserve">difference between exempt and </w:t>
      </w:r>
      <w:proofErr w:type="spellStart"/>
      <w:r>
        <w:rPr>
          <w:rFonts w:ascii="Arial" w:eastAsia="Times New Roman" w:hAnsi="Arial" w:cs="Arial"/>
          <w:b/>
          <w:bCs/>
          <w:color w:val="202124"/>
          <w:sz w:val="36"/>
          <w:szCs w:val="36"/>
          <w:u w:val="single"/>
        </w:rPr>
        <w:t>non taxable</w:t>
      </w:r>
      <w:proofErr w:type="spellEnd"/>
    </w:p>
    <w:p w14:paraId="65736117" w14:textId="77777777" w:rsidR="00582251" w:rsidRDefault="00582251" w:rsidP="00582251">
      <w:pPr>
        <w:pStyle w:val="NormalWeb"/>
        <w:shd w:val="clear" w:color="auto" w:fill="FFFFFF"/>
        <w:rPr>
          <w:rFonts w:ascii="Source Sans Pro" w:hAnsi="Source Sans Pro"/>
          <w:color w:val="5F6062"/>
        </w:rPr>
      </w:pPr>
      <w:r>
        <w:rPr>
          <w:rStyle w:val="Strong"/>
          <w:rFonts w:ascii="Source Sans Pro" w:hAnsi="Source Sans Pro"/>
          <w:color w:val="5F6062"/>
        </w:rPr>
        <w:t>Exempt sales</w:t>
      </w:r>
      <w:r>
        <w:rPr>
          <w:rFonts w:ascii="Source Sans Pro" w:hAnsi="Source Sans Pro"/>
          <w:color w:val="5F6062"/>
        </w:rPr>
        <w:br/>
        <w:t>Exempt sales are based on the business or entity making the purchase. This means that the business or entity making the purchase is exempt from paying sales tax. Refer to </w:t>
      </w:r>
      <w:hyperlink r:id="rId5" w:tooltip="Avalara_AvaTax_Update/Exemption_Reason_Matrix_for_US_and_Canada" w:history="1">
        <w:r>
          <w:rPr>
            <w:rStyle w:val="Hyperlink"/>
            <w:rFonts w:ascii="Source Sans Pro" w:hAnsi="Source Sans Pro"/>
            <w:color w:val="059BD2"/>
          </w:rPr>
          <w:t>this guide</w:t>
        </w:r>
      </w:hyperlink>
      <w:r>
        <w:rPr>
          <w:rFonts w:ascii="Source Sans Pro" w:hAnsi="Source Sans Pro"/>
          <w:color w:val="5F6062"/>
        </w:rPr>
        <w:t> for common reasons that a business would be exempt from paying sales tax.</w:t>
      </w:r>
    </w:p>
    <w:p w14:paraId="166094F6" w14:textId="77777777" w:rsidR="00582251" w:rsidRDefault="00582251" w:rsidP="00582251">
      <w:pPr>
        <w:pStyle w:val="NormalWeb"/>
        <w:shd w:val="clear" w:color="auto" w:fill="FFFFFF"/>
        <w:rPr>
          <w:rFonts w:ascii="Source Sans Pro" w:hAnsi="Source Sans Pro"/>
          <w:color w:val="5F6062"/>
        </w:rPr>
      </w:pPr>
      <w:r>
        <w:rPr>
          <w:rStyle w:val="Strong"/>
          <w:rFonts w:ascii="Source Sans Pro" w:hAnsi="Source Sans Pro"/>
          <w:color w:val="5F6062"/>
        </w:rPr>
        <w:t>Non-taxable sales</w:t>
      </w:r>
      <w:r>
        <w:rPr>
          <w:rFonts w:ascii="Source Sans Pro" w:hAnsi="Source Sans Pro"/>
          <w:color w:val="5F6062"/>
        </w:rPr>
        <w:br/>
        <w:t>Non-taxable sales are based on the product or service being sold. This means that the product or service being sold is not taxable in the taxing jurisdiction. This is determined based on several factors, including the addresses you use in the transaction and the </w:t>
      </w:r>
      <w:hyperlink r:id="rId6" w:tooltip="Avalara_AvaTax_Update/Avalara_tax_codes" w:history="1">
        <w:r>
          <w:rPr>
            <w:rStyle w:val="Hyperlink"/>
            <w:rFonts w:ascii="Source Sans Pro" w:hAnsi="Source Sans Pro"/>
            <w:color w:val="059BD2"/>
          </w:rPr>
          <w:t>Avalara tax code</w:t>
        </w:r>
      </w:hyperlink>
      <w:r>
        <w:rPr>
          <w:rFonts w:ascii="Source Sans Pro" w:hAnsi="Source Sans Pro"/>
          <w:color w:val="5F6062"/>
        </w:rPr>
        <w:t> that you use for the product or service.</w:t>
      </w:r>
    </w:p>
    <w:p w14:paraId="51C806DF" w14:textId="15FEC681" w:rsidR="00582251" w:rsidRDefault="00582251" w:rsidP="00582251">
      <w:pPr>
        <w:shd w:val="clear" w:color="auto" w:fill="FFFFFF"/>
        <w:spacing w:after="0" w:line="240" w:lineRule="auto"/>
        <w:jc w:val="center"/>
        <w:rPr>
          <w:rFonts w:ascii="Arial" w:eastAsia="Times New Roman" w:hAnsi="Arial" w:cs="Arial"/>
          <w:b/>
          <w:bCs/>
          <w:color w:val="202124"/>
          <w:sz w:val="36"/>
          <w:szCs w:val="36"/>
          <w:u w:val="single"/>
        </w:rPr>
      </w:pPr>
      <w:r>
        <w:rPr>
          <w:rFonts w:ascii="Arial" w:eastAsia="Times New Roman" w:hAnsi="Arial" w:cs="Arial"/>
          <w:b/>
          <w:bCs/>
          <w:color w:val="202124"/>
          <w:sz w:val="36"/>
          <w:szCs w:val="36"/>
          <w:u w:val="single"/>
        </w:rPr>
        <w:t>8-Treatment of loan to employee</w:t>
      </w:r>
    </w:p>
    <w:p w14:paraId="6A11F331" w14:textId="4DAB95B6" w:rsidR="00582251" w:rsidRDefault="00582251" w:rsidP="00582251">
      <w:pPr>
        <w:shd w:val="clear" w:color="auto" w:fill="FFFFFF"/>
        <w:spacing w:after="0" w:line="240" w:lineRule="auto"/>
        <w:jc w:val="center"/>
        <w:rPr>
          <w:rFonts w:ascii="Arial" w:eastAsia="Times New Roman" w:hAnsi="Arial" w:cs="Arial"/>
          <w:b/>
          <w:bCs/>
          <w:color w:val="202124"/>
          <w:sz w:val="36"/>
          <w:szCs w:val="36"/>
          <w:u w:val="single"/>
        </w:rPr>
      </w:pPr>
    </w:p>
    <w:p w14:paraId="4A9B4B12" w14:textId="5CA6B249" w:rsidR="00582251" w:rsidRDefault="00582251" w:rsidP="00582251">
      <w:pPr>
        <w:shd w:val="clear" w:color="auto" w:fill="FFFFFF"/>
        <w:spacing w:after="0" w:line="240" w:lineRule="auto"/>
        <w:rPr>
          <w:rFonts w:ascii="Arial" w:eastAsia="Times New Roman" w:hAnsi="Arial" w:cs="Arial"/>
          <w:b/>
          <w:bCs/>
          <w:color w:val="202124"/>
          <w:sz w:val="36"/>
          <w:szCs w:val="36"/>
        </w:rPr>
      </w:pPr>
      <w:r>
        <w:rPr>
          <w:rFonts w:ascii="Arial" w:eastAsia="Times New Roman" w:hAnsi="Arial" w:cs="Arial"/>
          <w:b/>
          <w:bCs/>
          <w:color w:val="202124"/>
          <w:sz w:val="36"/>
          <w:szCs w:val="36"/>
        </w:rPr>
        <w:t>not found</w:t>
      </w:r>
    </w:p>
    <w:p w14:paraId="5999979C" w14:textId="77777777" w:rsidR="00582251" w:rsidRDefault="00582251" w:rsidP="00582251">
      <w:pPr>
        <w:shd w:val="clear" w:color="auto" w:fill="FFFFFF"/>
        <w:spacing w:after="0" w:line="240" w:lineRule="auto"/>
        <w:jc w:val="center"/>
        <w:rPr>
          <w:rFonts w:ascii="Arial" w:eastAsia="Times New Roman" w:hAnsi="Arial" w:cs="Arial"/>
          <w:b/>
          <w:bCs/>
          <w:color w:val="202124"/>
          <w:sz w:val="36"/>
          <w:szCs w:val="36"/>
          <w:u w:val="single"/>
        </w:rPr>
      </w:pPr>
    </w:p>
    <w:p w14:paraId="063DBC6A" w14:textId="75EE481D" w:rsidR="00582251" w:rsidRDefault="00582251" w:rsidP="00582251">
      <w:pPr>
        <w:shd w:val="clear" w:color="auto" w:fill="FFFFFF"/>
        <w:spacing w:after="0" w:line="240" w:lineRule="auto"/>
        <w:jc w:val="center"/>
        <w:rPr>
          <w:rFonts w:ascii="Arial" w:eastAsia="Times New Roman" w:hAnsi="Arial" w:cs="Arial"/>
          <w:b/>
          <w:bCs/>
          <w:color w:val="202124"/>
          <w:sz w:val="36"/>
          <w:szCs w:val="36"/>
          <w:u w:val="single"/>
        </w:rPr>
      </w:pPr>
      <w:r>
        <w:rPr>
          <w:rFonts w:ascii="Arial" w:eastAsia="Times New Roman" w:hAnsi="Arial" w:cs="Arial"/>
          <w:b/>
          <w:bCs/>
          <w:color w:val="202124"/>
          <w:sz w:val="36"/>
          <w:szCs w:val="36"/>
          <w:u w:val="single"/>
        </w:rPr>
        <w:t>9</w:t>
      </w:r>
      <w:r>
        <w:rPr>
          <w:rFonts w:ascii="Arial" w:eastAsia="Times New Roman" w:hAnsi="Arial" w:cs="Arial"/>
          <w:b/>
          <w:bCs/>
          <w:color w:val="202124"/>
          <w:sz w:val="36"/>
          <w:szCs w:val="36"/>
          <w:u w:val="single"/>
        </w:rPr>
        <w:t>-</w:t>
      </w:r>
      <w:r>
        <w:rPr>
          <w:rFonts w:ascii="Arial" w:eastAsia="Times New Roman" w:hAnsi="Arial" w:cs="Arial"/>
          <w:b/>
          <w:bCs/>
          <w:color w:val="202124"/>
          <w:sz w:val="36"/>
          <w:szCs w:val="36"/>
          <w:u w:val="single"/>
        </w:rPr>
        <w:t>Examples of income from other sources</w:t>
      </w:r>
    </w:p>
    <w:p w14:paraId="698B111B" w14:textId="128E37A4" w:rsidR="00582251" w:rsidRDefault="00582251" w:rsidP="00582251">
      <w:pPr>
        <w:shd w:val="clear" w:color="auto" w:fill="FFFFFF"/>
        <w:spacing w:after="0" w:line="240" w:lineRule="auto"/>
        <w:rPr>
          <w:rFonts w:ascii="Arial" w:eastAsia="Times New Roman" w:hAnsi="Arial" w:cs="Arial"/>
          <w:b/>
          <w:bCs/>
          <w:color w:val="202124"/>
          <w:sz w:val="36"/>
          <w:szCs w:val="36"/>
          <w:u w:val="single"/>
        </w:rPr>
      </w:pPr>
    </w:p>
    <w:p w14:paraId="78020DA2" w14:textId="77777777" w:rsidR="00582251" w:rsidRDefault="00582251" w:rsidP="00582251">
      <w:pPr>
        <w:pStyle w:val="trt0xe"/>
        <w:numPr>
          <w:ilvl w:val="0"/>
          <w:numId w:val="1"/>
        </w:numPr>
        <w:shd w:val="clear" w:color="auto" w:fill="FFFFFF"/>
        <w:spacing w:before="0" w:beforeAutospacing="0" w:after="60" w:afterAutospacing="0"/>
        <w:rPr>
          <w:rFonts w:ascii="Arial" w:hAnsi="Arial" w:cs="Arial"/>
          <w:color w:val="202124"/>
        </w:rPr>
      </w:pPr>
      <w:r>
        <w:rPr>
          <w:rFonts w:ascii="Arial" w:hAnsi="Arial" w:cs="Arial"/>
          <w:color w:val="202124"/>
        </w:rPr>
        <w:t>Income from subletting of a house property by a tenant.</w:t>
      </w:r>
    </w:p>
    <w:p w14:paraId="01D1FE8F" w14:textId="77777777" w:rsidR="00582251" w:rsidRDefault="00582251" w:rsidP="00582251">
      <w:pPr>
        <w:pStyle w:val="trt0xe"/>
        <w:numPr>
          <w:ilvl w:val="0"/>
          <w:numId w:val="1"/>
        </w:numPr>
        <w:shd w:val="clear" w:color="auto" w:fill="FFFFFF"/>
        <w:spacing w:before="0" w:beforeAutospacing="0" w:after="60" w:afterAutospacing="0"/>
        <w:rPr>
          <w:rFonts w:ascii="Arial" w:hAnsi="Arial" w:cs="Arial"/>
          <w:color w:val="202124"/>
        </w:rPr>
      </w:pPr>
      <w:r>
        <w:rPr>
          <w:rFonts w:ascii="Arial" w:hAnsi="Arial" w:cs="Arial"/>
          <w:color w:val="202124"/>
        </w:rPr>
        <w:t>Casual income.</w:t>
      </w:r>
    </w:p>
    <w:p w14:paraId="701F6D6B" w14:textId="77777777" w:rsidR="00582251" w:rsidRDefault="00582251" w:rsidP="00582251">
      <w:pPr>
        <w:pStyle w:val="trt0xe"/>
        <w:numPr>
          <w:ilvl w:val="0"/>
          <w:numId w:val="1"/>
        </w:numPr>
        <w:shd w:val="clear" w:color="auto" w:fill="FFFFFF"/>
        <w:spacing w:before="0" w:beforeAutospacing="0" w:after="60" w:afterAutospacing="0"/>
        <w:rPr>
          <w:rFonts w:ascii="Arial" w:hAnsi="Arial" w:cs="Arial"/>
          <w:color w:val="202124"/>
        </w:rPr>
      </w:pPr>
      <w:r>
        <w:rPr>
          <w:rFonts w:ascii="Arial" w:hAnsi="Arial" w:cs="Arial"/>
          <w:color w:val="202124"/>
        </w:rPr>
        <w:lastRenderedPageBreak/>
        <w:t xml:space="preserve">Insurance commissions received by the </w:t>
      </w:r>
      <w:proofErr w:type="spellStart"/>
      <w:r>
        <w:rPr>
          <w:rFonts w:ascii="Arial" w:hAnsi="Arial" w:cs="Arial"/>
          <w:color w:val="202124"/>
        </w:rPr>
        <w:t>assessee</w:t>
      </w:r>
      <w:proofErr w:type="spellEnd"/>
      <w:r>
        <w:rPr>
          <w:rFonts w:ascii="Arial" w:hAnsi="Arial" w:cs="Arial"/>
          <w:color w:val="202124"/>
        </w:rPr>
        <w:t>.</w:t>
      </w:r>
    </w:p>
    <w:p w14:paraId="00B587EE" w14:textId="77777777" w:rsidR="00582251" w:rsidRDefault="00582251" w:rsidP="00582251">
      <w:pPr>
        <w:pStyle w:val="trt0xe"/>
        <w:numPr>
          <w:ilvl w:val="0"/>
          <w:numId w:val="1"/>
        </w:numPr>
        <w:shd w:val="clear" w:color="auto" w:fill="FFFFFF"/>
        <w:spacing w:before="0" w:beforeAutospacing="0" w:after="60" w:afterAutospacing="0"/>
        <w:rPr>
          <w:rFonts w:ascii="Arial" w:hAnsi="Arial" w:cs="Arial"/>
          <w:color w:val="202124"/>
        </w:rPr>
      </w:pPr>
      <w:r>
        <w:rPr>
          <w:rFonts w:ascii="Arial" w:hAnsi="Arial" w:cs="Arial"/>
          <w:color w:val="202124"/>
        </w:rPr>
        <w:t>Family pension payments received by the legal heirs of dead employees.</w:t>
      </w:r>
    </w:p>
    <w:p w14:paraId="4F2C68C9" w14:textId="77777777" w:rsidR="00582251" w:rsidRDefault="00582251" w:rsidP="00582251">
      <w:pPr>
        <w:pStyle w:val="trt0xe"/>
        <w:numPr>
          <w:ilvl w:val="0"/>
          <w:numId w:val="1"/>
        </w:numPr>
        <w:shd w:val="clear" w:color="auto" w:fill="FFFFFF"/>
        <w:spacing w:before="0" w:beforeAutospacing="0" w:after="60" w:afterAutospacing="0"/>
        <w:rPr>
          <w:rFonts w:ascii="Arial" w:hAnsi="Arial" w:cs="Arial"/>
          <w:color w:val="202124"/>
        </w:rPr>
      </w:pPr>
      <w:r>
        <w:rPr>
          <w:rFonts w:ascii="Arial" w:hAnsi="Arial" w:cs="Arial"/>
          <w:color w:val="202124"/>
        </w:rPr>
        <w:t>Interest on bank deposits and deposits with companies.</w:t>
      </w:r>
    </w:p>
    <w:p w14:paraId="74F9548F" w14:textId="69424B87" w:rsidR="00582251" w:rsidRDefault="00582251" w:rsidP="00582251">
      <w:pPr>
        <w:shd w:val="clear" w:color="auto" w:fill="FFFFFF"/>
        <w:spacing w:after="0" w:line="240" w:lineRule="auto"/>
        <w:rPr>
          <w:rFonts w:ascii="Arial" w:eastAsia="Times New Roman" w:hAnsi="Arial" w:cs="Arial"/>
          <w:b/>
          <w:bCs/>
          <w:color w:val="202124"/>
          <w:sz w:val="36"/>
          <w:szCs w:val="36"/>
          <w:u w:val="single"/>
        </w:rPr>
      </w:pPr>
    </w:p>
    <w:p w14:paraId="021293C2" w14:textId="7446EC5B" w:rsidR="00582251" w:rsidRDefault="00582251" w:rsidP="00582251">
      <w:pPr>
        <w:shd w:val="clear" w:color="auto" w:fill="FFFFFF"/>
        <w:spacing w:after="0" w:line="240" w:lineRule="auto"/>
        <w:jc w:val="center"/>
        <w:rPr>
          <w:rFonts w:ascii="Arial" w:eastAsia="Times New Roman" w:hAnsi="Arial" w:cs="Arial"/>
          <w:b/>
          <w:bCs/>
          <w:color w:val="202124"/>
          <w:sz w:val="36"/>
          <w:szCs w:val="36"/>
          <w:u w:val="single"/>
        </w:rPr>
      </w:pPr>
      <w:r>
        <w:rPr>
          <w:rFonts w:ascii="Arial" w:eastAsia="Times New Roman" w:hAnsi="Arial" w:cs="Arial"/>
          <w:b/>
          <w:bCs/>
          <w:color w:val="202124"/>
          <w:sz w:val="36"/>
          <w:szCs w:val="36"/>
          <w:u w:val="single"/>
        </w:rPr>
        <w:t>10-</w:t>
      </w:r>
      <w:r w:rsidR="003E0F3B">
        <w:rPr>
          <w:rFonts w:ascii="Arial" w:eastAsia="Times New Roman" w:hAnsi="Arial" w:cs="Arial"/>
          <w:b/>
          <w:bCs/>
          <w:color w:val="202124"/>
          <w:sz w:val="36"/>
          <w:szCs w:val="36"/>
          <w:u w:val="single"/>
        </w:rPr>
        <w:t xml:space="preserve">Best Judgement </w:t>
      </w:r>
      <w:proofErr w:type="spellStart"/>
      <w:r w:rsidR="003E0F3B">
        <w:rPr>
          <w:rFonts w:ascii="Arial" w:eastAsia="Times New Roman" w:hAnsi="Arial" w:cs="Arial"/>
          <w:b/>
          <w:bCs/>
          <w:color w:val="202124"/>
          <w:sz w:val="36"/>
          <w:szCs w:val="36"/>
          <w:u w:val="single"/>
        </w:rPr>
        <w:t>Assesment</w:t>
      </w:r>
      <w:proofErr w:type="spellEnd"/>
    </w:p>
    <w:p w14:paraId="5FE657B1" w14:textId="22BF0C3A" w:rsidR="003E0F3B" w:rsidRDefault="003E0F3B" w:rsidP="00582251">
      <w:pPr>
        <w:shd w:val="clear" w:color="auto" w:fill="FFFFFF"/>
        <w:spacing w:after="0" w:line="240" w:lineRule="auto"/>
        <w:jc w:val="center"/>
        <w:rPr>
          <w:rFonts w:ascii="Arial" w:eastAsia="Times New Roman" w:hAnsi="Arial" w:cs="Arial"/>
          <w:b/>
          <w:bCs/>
          <w:color w:val="202124"/>
          <w:sz w:val="36"/>
          <w:szCs w:val="36"/>
          <w:u w:val="single"/>
        </w:rPr>
      </w:pPr>
    </w:p>
    <w:p w14:paraId="1644C844" w14:textId="39E903C2" w:rsidR="003E0F3B" w:rsidRDefault="003E0F3B" w:rsidP="003E0F3B">
      <w:pPr>
        <w:shd w:val="clear" w:color="auto" w:fill="FFFFFF"/>
        <w:spacing w:after="0" w:line="240" w:lineRule="auto"/>
        <w:rPr>
          <w:rFonts w:ascii="Arial" w:hAnsi="Arial" w:cs="Arial"/>
          <w:color w:val="202124"/>
          <w:shd w:val="clear" w:color="auto" w:fill="FFFFFF"/>
        </w:rPr>
      </w:pPr>
      <w:r>
        <w:rPr>
          <w:rFonts w:ascii="Arial" w:hAnsi="Arial" w:cs="Arial"/>
          <w:color w:val="202124"/>
          <w:shd w:val="clear" w:color="auto" w:fill="FFFFFF"/>
        </w:rPr>
        <w:t>A best judgement assessment is </w:t>
      </w:r>
      <w:r>
        <w:rPr>
          <w:rFonts w:ascii="Arial" w:hAnsi="Arial" w:cs="Arial"/>
          <w:b/>
          <w:bCs/>
          <w:color w:val="202124"/>
          <w:shd w:val="clear" w:color="auto" w:fill="FFFFFF"/>
        </w:rPr>
        <w:t xml:space="preserve">an income tax assessment which is performed by the assessing officer with limited knowledge about the financial circumstances of the </w:t>
      </w:r>
      <w:proofErr w:type="spellStart"/>
      <w:r>
        <w:rPr>
          <w:rFonts w:ascii="Arial" w:hAnsi="Arial" w:cs="Arial"/>
          <w:b/>
          <w:bCs/>
          <w:color w:val="202124"/>
          <w:shd w:val="clear" w:color="auto" w:fill="FFFFFF"/>
        </w:rPr>
        <w:t>assessee</w:t>
      </w:r>
      <w:proofErr w:type="spellEnd"/>
      <w:r>
        <w:rPr>
          <w:rFonts w:ascii="Arial" w:hAnsi="Arial" w:cs="Arial"/>
          <w:color w:val="202124"/>
          <w:shd w:val="clear" w:color="auto" w:fill="FFFFFF"/>
        </w:rPr>
        <w:t xml:space="preserve">. </w:t>
      </w:r>
      <w:proofErr w:type="spellStart"/>
      <w:r>
        <w:rPr>
          <w:rFonts w:ascii="Arial" w:hAnsi="Arial" w:cs="Arial"/>
          <w:color w:val="202124"/>
          <w:shd w:val="clear" w:color="auto" w:fill="FFFFFF"/>
        </w:rPr>
        <w:t>Assessees</w:t>
      </w:r>
      <w:proofErr w:type="spellEnd"/>
      <w:r>
        <w:rPr>
          <w:rFonts w:ascii="Arial" w:hAnsi="Arial" w:cs="Arial"/>
          <w:color w:val="202124"/>
          <w:shd w:val="clear" w:color="auto" w:fill="FFFFFF"/>
        </w:rPr>
        <w:t xml:space="preserve"> may fail to give the assessing officer adequate co-operation regarding the assessment procedure.</w:t>
      </w:r>
    </w:p>
    <w:p w14:paraId="3B420590" w14:textId="6EDC4837" w:rsidR="003E0F3B" w:rsidRDefault="003E0F3B" w:rsidP="003E0F3B">
      <w:pPr>
        <w:shd w:val="clear" w:color="auto" w:fill="FFFFFF"/>
        <w:spacing w:after="0" w:line="240" w:lineRule="auto"/>
        <w:rPr>
          <w:rFonts w:ascii="Arial" w:hAnsi="Arial" w:cs="Arial"/>
          <w:color w:val="202124"/>
          <w:shd w:val="clear" w:color="auto" w:fill="FFFFFF"/>
        </w:rPr>
      </w:pPr>
    </w:p>
    <w:p w14:paraId="65E477F8" w14:textId="77777777" w:rsidR="003E0F3B" w:rsidRDefault="003E0F3B" w:rsidP="003E0F3B">
      <w:pPr>
        <w:shd w:val="clear" w:color="auto" w:fill="FFFFFF"/>
        <w:spacing w:after="0" w:line="240" w:lineRule="auto"/>
        <w:jc w:val="center"/>
        <w:rPr>
          <w:rFonts w:ascii="Arial" w:eastAsia="Times New Roman" w:hAnsi="Arial" w:cs="Arial"/>
          <w:b/>
          <w:bCs/>
          <w:color w:val="202124"/>
          <w:sz w:val="36"/>
          <w:szCs w:val="36"/>
          <w:u w:val="single"/>
        </w:rPr>
      </w:pPr>
    </w:p>
    <w:p w14:paraId="7038C439" w14:textId="353D5233" w:rsidR="003E0F3B" w:rsidRDefault="003E0F3B" w:rsidP="003E0F3B">
      <w:pPr>
        <w:shd w:val="clear" w:color="auto" w:fill="FFFFFF"/>
        <w:spacing w:after="0" w:line="240" w:lineRule="auto"/>
        <w:jc w:val="center"/>
        <w:rPr>
          <w:rFonts w:ascii="Arial" w:eastAsia="Times New Roman" w:hAnsi="Arial" w:cs="Arial"/>
          <w:b/>
          <w:bCs/>
          <w:color w:val="202124"/>
          <w:sz w:val="36"/>
          <w:szCs w:val="36"/>
          <w:u w:val="single"/>
        </w:rPr>
      </w:pPr>
      <w:r>
        <w:rPr>
          <w:rFonts w:ascii="Arial" w:eastAsia="Times New Roman" w:hAnsi="Arial" w:cs="Arial"/>
          <w:b/>
          <w:bCs/>
          <w:color w:val="202124"/>
          <w:sz w:val="36"/>
          <w:szCs w:val="36"/>
          <w:u w:val="single"/>
        </w:rPr>
        <w:t>LONG</w:t>
      </w:r>
    </w:p>
    <w:p w14:paraId="0C873DA8" w14:textId="3B550251" w:rsidR="003E0F3B" w:rsidRDefault="003E0F3B" w:rsidP="003E0F3B">
      <w:pPr>
        <w:shd w:val="clear" w:color="auto" w:fill="FFFFFF"/>
        <w:spacing w:after="0" w:line="240" w:lineRule="auto"/>
        <w:jc w:val="center"/>
        <w:rPr>
          <w:rFonts w:ascii="Arial" w:eastAsia="Times New Roman" w:hAnsi="Arial" w:cs="Arial"/>
          <w:b/>
          <w:bCs/>
          <w:color w:val="202124"/>
          <w:sz w:val="36"/>
          <w:szCs w:val="36"/>
          <w:u w:val="single"/>
        </w:rPr>
      </w:pPr>
    </w:p>
    <w:p w14:paraId="47469E50" w14:textId="2BBA445A" w:rsidR="003E0F3B" w:rsidRDefault="003E0F3B" w:rsidP="003E0F3B">
      <w:pPr>
        <w:shd w:val="clear" w:color="auto" w:fill="FFFFFF"/>
        <w:spacing w:after="0" w:line="240" w:lineRule="auto"/>
        <w:jc w:val="center"/>
        <w:rPr>
          <w:rFonts w:ascii="Arial" w:eastAsia="Times New Roman" w:hAnsi="Arial" w:cs="Arial"/>
          <w:b/>
          <w:bCs/>
          <w:color w:val="202124"/>
          <w:sz w:val="36"/>
          <w:szCs w:val="36"/>
          <w:u w:val="single"/>
        </w:rPr>
      </w:pPr>
      <w:r>
        <w:rPr>
          <w:rFonts w:ascii="Arial" w:eastAsia="Times New Roman" w:hAnsi="Arial" w:cs="Arial"/>
          <w:b/>
          <w:bCs/>
          <w:color w:val="202124"/>
          <w:sz w:val="36"/>
          <w:szCs w:val="36"/>
          <w:u w:val="single"/>
        </w:rPr>
        <w:t>Q-1Provident Fund</w:t>
      </w:r>
    </w:p>
    <w:p w14:paraId="4D0691F0" w14:textId="10197E2E" w:rsidR="003E0F3B" w:rsidRDefault="003E0F3B" w:rsidP="003E0F3B">
      <w:pPr>
        <w:shd w:val="clear" w:color="auto" w:fill="FFFFFF"/>
        <w:spacing w:after="0" w:line="240" w:lineRule="auto"/>
        <w:jc w:val="center"/>
        <w:rPr>
          <w:rFonts w:ascii="Arial" w:eastAsia="Times New Roman" w:hAnsi="Arial" w:cs="Arial"/>
          <w:b/>
          <w:bCs/>
          <w:color w:val="202124"/>
          <w:sz w:val="36"/>
          <w:szCs w:val="36"/>
          <w:u w:val="single"/>
        </w:rPr>
      </w:pPr>
    </w:p>
    <w:p w14:paraId="3D0A63F5" w14:textId="23EAC6E0" w:rsidR="003E0F3B" w:rsidRDefault="003E0F3B" w:rsidP="003E0F3B">
      <w:pPr>
        <w:shd w:val="clear" w:color="auto" w:fill="FFFFFF"/>
        <w:spacing w:after="0" w:line="240" w:lineRule="auto"/>
        <w:rPr>
          <w:rFonts w:ascii="Arial" w:hAnsi="Arial" w:cs="Arial"/>
          <w:color w:val="202124"/>
          <w:shd w:val="clear" w:color="auto" w:fill="FFFFFF"/>
        </w:rPr>
      </w:pPr>
      <w:r>
        <w:rPr>
          <w:rFonts w:ascii="Arial" w:hAnsi="Arial" w:cs="Arial"/>
          <w:color w:val="202124"/>
          <w:shd w:val="clear" w:color="auto" w:fill="FFFFFF"/>
        </w:rPr>
        <w:t>A provident fund​ is </w:t>
      </w:r>
      <w:r>
        <w:rPr>
          <w:rFonts w:ascii="Arial" w:hAnsi="Arial" w:cs="Arial"/>
          <w:b/>
          <w:bCs/>
          <w:color w:val="202124"/>
          <w:shd w:val="clear" w:color="auto" w:fill="FFFFFF"/>
        </w:rPr>
        <w:t>an investment fund that is voluntarily established by Employer and employees to serve as long term savings to support an employee's retirement</w:t>
      </w:r>
      <w:r>
        <w:rPr>
          <w:rFonts w:ascii="Arial" w:hAnsi="Arial" w:cs="Arial"/>
          <w:color w:val="202124"/>
          <w:shd w:val="clear" w:color="auto" w:fill="FFFFFF"/>
        </w:rPr>
        <w:t>. Sources of fund: Employee's contribution: The amount deducted from the employee's salary at a rate of 2% – 15%.</w:t>
      </w:r>
    </w:p>
    <w:p w14:paraId="00DC34E1" w14:textId="1AE54361" w:rsidR="003E0F3B" w:rsidRDefault="003E0F3B" w:rsidP="003E0F3B">
      <w:pPr>
        <w:shd w:val="clear" w:color="auto" w:fill="FFFFFF"/>
        <w:spacing w:after="0" w:line="240" w:lineRule="auto"/>
        <w:rPr>
          <w:rFonts w:ascii="Arial" w:hAnsi="Arial" w:cs="Arial"/>
          <w:color w:val="202124"/>
          <w:shd w:val="clear" w:color="auto" w:fill="FFFFFF"/>
        </w:rPr>
      </w:pPr>
    </w:p>
    <w:p w14:paraId="0ABE1D74" w14:textId="49A293C4" w:rsidR="003E0F3B" w:rsidRDefault="003E0F3B" w:rsidP="003E0F3B">
      <w:pPr>
        <w:shd w:val="clear" w:color="auto" w:fill="FFFFFF"/>
        <w:spacing w:after="0" w:line="240" w:lineRule="auto"/>
        <w:jc w:val="center"/>
        <w:rPr>
          <w:rFonts w:ascii="Arial" w:eastAsia="Times New Roman" w:hAnsi="Arial" w:cs="Arial"/>
          <w:b/>
          <w:bCs/>
          <w:color w:val="202124"/>
          <w:sz w:val="36"/>
          <w:szCs w:val="36"/>
          <w:u w:val="single"/>
        </w:rPr>
      </w:pPr>
      <w:r>
        <w:rPr>
          <w:rFonts w:ascii="Arial" w:eastAsia="Times New Roman" w:hAnsi="Arial" w:cs="Arial"/>
          <w:b/>
          <w:bCs/>
          <w:color w:val="202124"/>
          <w:sz w:val="36"/>
          <w:szCs w:val="36"/>
          <w:u w:val="single"/>
        </w:rPr>
        <w:t xml:space="preserve">Treatment of various types of </w:t>
      </w:r>
      <w:r>
        <w:rPr>
          <w:rFonts w:ascii="Arial" w:eastAsia="Times New Roman" w:hAnsi="Arial" w:cs="Arial"/>
          <w:b/>
          <w:bCs/>
          <w:color w:val="202124"/>
          <w:sz w:val="36"/>
          <w:szCs w:val="36"/>
          <w:u w:val="single"/>
        </w:rPr>
        <w:t>Provident Fund</w:t>
      </w:r>
    </w:p>
    <w:p w14:paraId="68569716" w14:textId="1B216ECB" w:rsidR="003E0F3B" w:rsidRDefault="003E0F3B" w:rsidP="003E0F3B">
      <w:pPr>
        <w:shd w:val="clear" w:color="auto" w:fill="FFFFFF"/>
        <w:spacing w:after="0" w:line="240" w:lineRule="auto"/>
        <w:jc w:val="center"/>
        <w:rPr>
          <w:rFonts w:ascii="Arial" w:eastAsia="Times New Roman" w:hAnsi="Arial" w:cs="Arial"/>
          <w:b/>
          <w:bCs/>
          <w:color w:val="202124"/>
          <w:sz w:val="36"/>
          <w:szCs w:val="36"/>
          <w:u w:val="single"/>
        </w:rPr>
      </w:pPr>
      <w:r>
        <w:rPr>
          <w:rFonts w:ascii="Arial" w:eastAsia="Times New Roman" w:hAnsi="Arial" w:cs="Arial"/>
          <w:b/>
          <w:bCs/>
          <w:color w:val="202124"/>
          <w:sz w:val="36"/>
          <w:szCs w:val="36"/>
          <w:u w:val="single"/>
        </w:rPr>
        <w:t>For inclusion in total income and exemption from income tax</w:t>
      </w:r>
    </w:p>
    <w:p w14:paraId="6CA41C30" w14:textId="6EDA5159" w:rsidR="003E0F3B" w:rsidRDefault="003E0F3B" w:rsidP="003E0F3B">
      <w:pPr>
        <w:shd w:val="clear" w:color="auto" w:fill="FFFFFF"/>
        <w:spacing w:after="0" w:line="240" w:lineRule="auto"/>
        <w:jc w:val="center"/>
        <w:rPr>
          <w:rFonts w:ascii="Arial" w:eastAsia="Times New Roman" w:hAnsi="Arial" w:cs="Arial"/>
          <w:b/>
          <w:bCs/>
          <w:color w:val="202124"/>
          <w:sz w:val="36"/>
          <w:szCs w:val="36"/>
          <w:u w:val="single"/>
        </w:rPr>
      </w:pPr>
    </w:p>
    <w:p w14:paraId="320A3009" w14:textId="77777777" w:rsidR="003E0F3B" w:rsidRPr="003E0F3B" w:rsidRDefault="003E0F3B" w:rsidP="003E0F3B">
      <w:pPr>
        <w:shd w:val="clear" w:color="auto" w:fill="FFFFFF"/>
        <w:spacing w:before="100" w:beforeAutospacing="1" w:after="100" w:afterAutospacing="1" w:line="240" w:lineRule="auto"/>
        <w:jc w:val="both"/>
        <w:outlineLvl w:val="2"/>
        <w:rPr>
          <w:rFonts w:ascii="Arial" w:eastAsia="Times New Roman" w:hAnsi="Arial" w:cs="Arial"/>
          <w:b/>
          <w:bCs/>
          <w:color w:val="000000"/>
          <w:sz w:val="27"/>
          <w:szCs w:val="27"/>
        </w:rPr>
      </w:pPr>
      <w:r w:rsidRPr="003E0F3B">
        <w:rPr>
          <w:rFonts w:ascii="Arial" w:eastAsia="Times New Roman" w:hAnsi="Arial" w:cs="Arial"/>
          <w:b/>
          <w:bCs/>
          <w:color w:val="000000"/>
          <w:sz w:val="27"/>
          <w:szCs w:val="27"/>
        </w:rPr>
        <w:t>4 Types of Provident Fund</w:t>
      </w:r>
    </w:p>
    <w:p w14:paraId="4BE191E0" w14:textId="77777777" w:rsidR="003E0F3B" w:rsidRPr="003E0F3B" w:rsidRDefault="003E0F3B" w:rsidP="003E0F3B">
      <w:pPr>
        <w:numPr>
          <w:ilvl w:val="0"/>
          <w:numId w:val="2"/>
        </w:numPr>
        <w:shd w:val="clear" w:color="auto" w:fill="FFFFFF"/>
        <w:spacing w:after="0" w:line="330" w:lineRule="atLeast"/>
        <w:jc w:val="both"/>
        <w:rPr>
          <w:rFonts w:ascii="DM Sans" w:eastAsia="Times New Roman" w:hAnsi="DM Sans" w:cs="Times New Roman"/>
          <w:color w:val="000000"/>
          <w:sz w:val="24"/>
          <w:szCs w:val="24"/>
        </w:rPr>
      </w:pPr>
      <w:r w:rsidRPr="003E0F3B">
        <w:rPr>
          <w:rFonts w:ascii="DM Sans" w:eastAsia="Times New Roman" w:hAnsi="DM Sans" w:cs="Times New Roman"/>
          <w:b/>
          <w:bCs/>
          <w:color w:val="000000"/>
          <w:sz w:val="24"/>
          <w:szCs w:val="24"/>
        </w:rPr>
        <w:t>Recognized Provident Fund</w:t>
      </w:r>
    </w:p>
    <w:p w14:paraId="27A61897" w14:textId="77777777" w:rsidR="003E0F3B" w:rsidRPr="003E0F3B" w:rsidRDefault="003E0F3B" w:rsidP="003E0F3B">
      <w:pPr>
        <w:shd w:val="clear" w:color="auto" w:fill="FFFFFF"/>
        <w:spacing w:after="0" w:line="330" w:lineRule="atLeast"/>
        <w:jc w:val="both"/>
        <w:rPr>
          <w:rFonts w:ascii="DM Sans" w:eastAsia="Times New Roman" w:hAnsi="DM Sans" w:cs="Times New Roman"/>
          <w:color w:val="000000"/>
          <w:sz w:val="27"/>
          <w:szCs w:val="27"/>
        </w:rPr>
      </w:pPr>
      <w:r w:rsidRPr="003E0F3B">
        <w:rPr>
          <w:rFonts w:ascii="DM Sans" w:eastAsia="Times New Roman" w:hAnsi="DM Sans" w:cs="Times New Roman"/>
          <w:color w:val="000000"/>
          <w:sz w:val="27"/>
          <w:szCs w:val="27"/>
        </w:rPr>
        <w:t xml:space="preserve">All establishments with 20 or more employees are subject to the Provident Fund Act of 1952. The establishments covered by the scheme have the option of applying for the government-approved scheme or founding their own Provident Fund trust. The establishments can join the PF (Provident Fund) Act 1952, which is a recognized provident fund, which is a government-approved system. Alternatively, the employer and employee of the organization may form a trust to establish a provident fund scheme, with funds invested in accordance with the Provident Fund (PF) Act of 1952. </w:t>
      </w:r>
      <w:r w:rsidRPr="003E0F3B">
        <w:rPr>
          <w:rFonts w:ascii="DM Sans" w:eastAsia="Times New Roman" w:hAnsi="DM Sans" w:cs="Times New Roman"/>
          <w:color w:val="000000"/>
          <w:sz w:val="27"/>
          <w:szCs w:val="27"/>
        </w:rPr>
        <w:lastRenderedPageBreak/>
        <w:t>Before it can be labeled as a recognized provident fund, the scheme must be approved by the commissioner of income tax.</w:t>
      </w:r>
    </w:p>
    <w:p w14:paraId="2A0A2702" w14:textId="77777777" w:rsidR="003E0F3B" w:rsidRPr="003E0F3B" w:rsidRDefault="003E0F3B" w:rsidP="003E0F3B">
      <w:pPr>
        <w:numPr>
          <w:ilvl w:val="0"/>
          <w:numId w:val="3"/>
        </w:numPr>
        <w:shd w:val="clear" w:color="auto" w:fill="FFFFFF"/>
        <w:spacing w:after="0" w:line="330" w:lineRule="atLeast"/>
        <w:jc w:val="both"/>
        <w:rPr>
          <w:rFonts w:ascii="DM Sans" w:eastAsia="Times New Roman" w:hAnsi="DM Sans" w:cs="Times New Roman"/>
          <w:color w:val="000000"/>
          <w:sz w:val="24"/>
          <w:szCs w:val="24"/>
        </w:rPr>
      </w:pPr>
      <w:r w:rsidRPr="003E0F3B">
        <w:rPr>
          <w:rFonts w:ascii="DM Sans" w:eastAsia="Times New Roman" w:hAnsi="DM Sans" w:cs="Times New Roman"/>
          <w:b/>
          <w:bCs/>
          <w:color w:val="000000"/>
          <w:sz w:val="24"/>
          <w:szCs w:val="24"/>
        </w:rPr>
        <w:t>PPF (Public Provident Fund)</w:t>
      </w:r>
    </w:p>
    <w:p w14:paraId="62873C82" w14:textId="77777777" w:rsidR="003E0F3B" w:rsidRPr="003E0F3B" w:rsidRDefault="003E0F3B" w:rsidP="003E0F3B">
      <w:pPr>
        <w:shd w:val="clear" w:color="auto" w:fill="FFFFFF"/>
        <w:spacing w:after="0" w:line="330" w:lineRule="atLeast"/>
        <w:jc w:val="both"/>
        <w:rPr>
          <w:rFonts w:ascii="DM Sans" w:eastAsia="Times New Roman" w:hAnsi="DM Sans" w:cs="Times New Roman"/>
          <w:color w:val="000000"/>
          <w:sz w:val="27"/>
          <w:szCs w:val="27"/>
        </w:rPr>
      </w:pPr>
      <w:r w:rsidRPr="003E0F3B">
        <w:rPr>
          <w:rFonts w:ascii="DM Sans" w:eastAsia="Times New Roman" w:hAnsi="DM Sans" w:cs="Times New Roman"/>
          <w:color w:val="000000"/>
          <w:sz w:val="27"/>
          <w:szCs w:val="27"/>
        </w:rPr>
        <w:t xml:space="preserve">For the general population, the government has established a provident fund. By creating a public provident fund account with an </w:t>
      </w:r>
      <w:proofErr w:type="spellStart"/>
      <w:r w:rsidRPr="003E0F3B">
        <w:rPr>
          <w:rFonts w:ascii="DM Sans" w:eastAsia="Times New Roman" w:hAnsi="DM Sans" w:cs="Times New Roman"/>
          <w:color w:val="000000"/>
          <w:sz w:val="27"/>
          <w:szCs w:val="27"/>
        </w:rPr>
        <w:t>authorised</w:t>
      </w:r>
      <w:proofErr w:type="spellEnd"/>
      <w:r w:rsidRPr="003E0F3B">
        <w:rPr>
          <w:rFonts w:ascii="DM Sans" w:eastAsia="Times New Roman" w:hAnsi="DM Sans" w:cs="Times New Roman"/>
          <w:color w:val="000000"/>
          <w:sz w:val="27"/>
          <w:szCs w:val="27"/>
        </w:rPr>
        <w:t xml:space="preserve"> bank, anyone can contribute to this scheme. Amounts ranging from INR 500 to INR 1,50,000 can be deposited. Following the completion of 15 years, the PPF (Public Provident Fund) corpus can be entirely withdrawn.</w:t>
      </w:r>
    </w:p>
    <w:p w14:paraId="79293DAF" w14:textId="77777777" w:rsidR="003E0F3B" w:rsidRPr="003E0F3B" w:rsidRDefault="003E0F3B" w:rsidP="003E0F3B">
      <w:pPr>
        <w:numPr>
          <w:ilvl w:val="0"/>
          <w:numId w:val="4"/>
        </w:numPr>
        <w:shd w:val="clear" w:color="auto" w:fill="FFFFFF"/>
        <w:spacing w:after="0" w:line="330" w:lineRule="atLeast"/>
        <w:jc w:val="both"/>
        <w:rPr>
          <w:rFonts w:ascii="DM Sans" w:eastAsia="Times New Roman" w:hAnsi="DM Sans" w:cs="Times New Roman"/>
          <w:color w:val="000000"/>
          <w:sz w:val="24"/>
          <w:szCs w:val="24"/>
        </w:rPr>
      </w:pPr>
      <w:r w:rsidRPr="003E0F3B">
        <w:rPr>
          <w:rFonts w:ascii="DM Sans" w:eastAsia="Times New Roman" w:hAnsi="DM Sans" w:cs="Times New Roman"/>
          <w:b/>
          <w:bCs/>
          <w:color w:val="000000"/>
          <w:sz w:val="24"/>
          <w:szCs w:val="24"/>
        </w:rPr>
        <w:t>Statutory Provident Fund</w:t>
      </w:r>
    </w:p>
    <w:p w14:paraId="3E306972" w14:textId="77777777" w:rsidR="003E0F3B" w:rsidRPr="003E0F3B" w:rsidRDefault="003E0F3B" w:rsidP="003E0F3B">
      <w:pPr>
        <w:shd w:val="clear" w:color="auto" w:fill="FFFFFF"/>
        <w:spacing w:after="0" w:line="330" w:lineRule="atLeast"/>
        <w:jc w:val="both"/>
        <w:rPr>
          <w:rFonts w:ascii="DM Sans" w:eastAsia="Times New Roman" w:hAnsi="DM Sans" w:cs="Times New Roman"/>
          <w:color w:val="000000"/>
          <w:sz w:val="27"/>
          <w:szCs w:val="27"/>
        </w:rPr>
      </w:pPr>
      <w:r w:rsidRPr="003E0F3B">
        <w:rPr>
          <w:rFonts w:ascii="DM Sans" w:eastAsia="Times New Roman" w:hAnsi="DM Sans" w:cs="Times New Roman"/>
          <w:color w:val="000000"/>
          <w:sz w:val="27"/>
          <w:szCs w:val="27"/>
        </w:rPr>
        <w:t>The Provident Funds Act of 1925 established this plan. It is intended for government employees, accredited educational institutions, railways, universities, and other similar organizations. The General Provident Fund is another name for Statutory Provident Fund. The government adjusts the interest rates on General Provident Funds on a regular basis. Employees in the private sector are not covered by the General Provident Fund (GPF).</w:t>
      </w:r>
    </w:p>
    <w:p w14:paraId="624A1274" w14:textId="77777777" w:rsidR="003E0F3B" w:rsidRPr="003E0F3B" w:rsidRDefault="003E0F3B" w:rsidP="003E0F3B">
      <w:pPr>
        <w:numPr>
          <w:ilvl w:val="0"/>
          <w:numId w:val="5"/>
        </w:numPr>
        <w:shd w:val="clear" w:color="auto" w:fill="FFFFFF"/>
        <w:spacing w:after="0" w:line="330" w:lineRule="atLeast"/>
        <w:jc w:val="both"/>
        <w:rPr>
          <w:rFonts w:ascii="DM Sans" w:eastAsia="Times New Roman" w:hAnsi="DM Sans" w:cs="Times New Roman"/>
          <w:color w:val="000000"/>
          <w:sz w:val="24"/>
          <w:szCs w:val="24"/>
        </w:rPr>
      </w:pPr>
      <w:r w:rsidRPr="003E0F3B">
        <w:rPr>
          <w:rFonts w:ascii="DM Sans" w:eastAsia="Times New Roman" w:hAnsi="DM Sans" w:cs="Times New Roman"/>
          <w:b/>
          <w:bCs/>
          <w:color w:val="000000"/>
          <w:sz w:val="24"/>
          <w:szCs w:val="24"/>
        </w:rPr>
        <w:t>Unrecognized Provident Fund</w:t>
      </w:r>
    </w:p>
    <w:p w14:paraId="4EB2D663" w14:textId="77777777" w:rsidR="003E0F3B" w:rsidRPr="003E0F3B" w:rsidRDefault="003E0F3B" w:rsidP="003E0F3B">
      <w:pPr>
        <w:shd w:val="clear" w:color="auto" w:fill="FFFFFF"/>
        <w:spacing w:after="0" w:line="330" w:lineRule="atLeast"/>
        <w:jc w:val="both"/>
        <w:rPr>
          <w:rFonts w:ascii="DM Sans" w:eastAsia="Times New Roman" w:hAnsi="DM Sans" w:cs="Times New Roman"/>
          <w:color w:val="000000"/>
          <w:sz w:val="27"/>
          <w:szCs w:val="27"/>
        </w:rPr>
      </w:pPr>
      <w:r w:rsidRPr="003E0F3B">
        <w:rPr>
          <w:rFonts w:ascii="DM Sans" w:eastAsia="Times New Roman" w:hAnsi="DM Sans" w:cs="Times New Roman"/>
          <w:color w:val="000000"/>
          <w:sz w:val="27"/>
          <w:szCs w:val="27"/>
        </w:rPr>
        <w:t>If the commissioner of income tax does not approve the provident fund program established by the employer and employee (as described in Recognized Provident Fund), the scheme is considered unrecognized.</w:t>
      </w:r>
    </w:p>
    <w:p w14:paraId="3DD78389" w14:textId="77777777" w:rsidR="003E0F3B" w:rsidRPr="003E0F3B" w:rsidRDefault="003E0F3B" w:rsidP="003E0F3B">
      <w:pPr>
        <w:shd w:val="clear" w:color="auto" w:fill="FFFFFF"/>
        <w:spacing w:after="0" w:line="330" w:lineRule="atLeast"/>
        <w:jc w:val="both"/>
        <w:rPr>
          <w:rFonts w:ascii="DM Sans" w:eastAsia="Times New Roman" w:hAnsi="DM Sans" w:cs="Times New Roman"/>
          <w:color w:val="000000"/>
          <w:sz w:val="27"/>
          <w:szCs w:val="27"/>
        </w:rPr>
      </w:pPr>
      <w:r w:rsidRPr="003E0F3B">
        <w:rPr>
          <w:rFonts w:ascii="DM Sans" w:eastAsia="Times New Roman" w:hAnsi="DM Sans" w:cs="Times New Roman"/>
          <w:color w:val="000000"/>
          <w:sz w:val="27"/>
          <w:szCs w:val="27"/>
        </w:rPr>
        <w:t> </w:t>
      </w:r>
    </w:p>
    <w:p w14:paraId="0FDDE402" w14:textId="77777777" w:rsidR="003E0F3B" w:rsidRPr="003E0F3B" w:rsidRDefault="003E0F3B" w:rsidP="003E0F3B">
      <w:pPr>
        <w:shd w:val="clear" w:color="auto" w:fill="FFFFFF"/>
        <w:spacing w:after="0" w:line="330" w:lineRule="atLeast"/>
        <w:jc w:val="both"/>
        <w:rPr>
          <w:rFonts w:ascii="DM Sans" w:eastAsia="Times New Roman" w:hAnsi="DM Sans" w:cs="Times New Roman"/>
          <w:color w:val="000000"/>
          <w:sz w:val="27"/>
          <w:szCs w:val="27"/>
        </w:rPr>
      </w:pPr>
      <w:r w:rsidRPr="003E0F3B">
        <w:rPr>
          <w:rFonts w:ascii="DM Sans" w:eastAsia="Times New Roman" w:hAnsi="DM Sans" w:cs="Times New Roman"/>
          <w:b/>
          <w:bCs/>
          <w:color w:val="000000"/>
          <w:sz w:val="27"/>
          <w:szCs w:val="27"/>
        </w:rPr>
        <w:t>Related Read:  </w:t>
      </w:r>
      <w:hyperlink r:id="rId7" w:tgtFrame="_blank" w:history="1">
        <w:r w:rsidRPr="003E0F3B">
          <w:rPr>
            <w:rFonts w:ascii="DM Sans" w:eastAsia="Times New Roman" w:hAnsi="DM Sans" w:cs="Times New Roman"/>
            <w:b/>
            <w:bCs/>
            <w:color w:val="F15A27"/>
            <w:sz w:val="27"/>
            <w:szCs w:val="27"/>
            <w:u w:val="single"/>
          </w:rPr>
          <w:t>How to Link Aadhar with EPFO?</w:t>
        </w:r>
      </w:hyperlink>
    </w:p>
    <w:p w14:paraId="4E80CDE8" w14:textId="77777777" w:rsidR="003E0F3B" w:rsidRPr="003E0F3B" w:rsidRDefault="003E0F3B" w:rsidP="003E0F3B">
      <w:pPr>
        <w:shd w:val="clear" w:color="auto" w:fill="FFFFFF"/>
        <w:spacing w:before="100" w:beforeAutospacing="1" w:after="100" w:afterAutospacing="1" w:line="240" w:lineRule="auto"/>
        <w:jc w:val="both"/>
        <w:outlineLvl w:val="2"/>
        <w:rPr>
          <w:rFonts w:ascii="Arial" w:eastAsia="Times New Roman" w:hAnsi="Arial" w:cs="Arial"/>
          <w:b/>
          <w:bCs/>
          <w:color w:val="000000"/>
          <w:sz w:val="27"/>
          <w:szCs w:val="27"/>
        </w:rPr>
      </w:pPr>
      <w:r w:rsidRPr="003E0F3B">
        <w:rPr>
          <w:rFonts w:ascii="Arial" w:eastAsia="Times New Roman" w:hAnsi="Arial" w:cs="Arial"/>
          <w:b/>
          <w:bCs/>
          <w:color w:val="000000"/>
          <w:sz w:val="27"/>
          <w:szCs w:val="27"/>
        </w:rPr>
        <w:t>Tax Treatment of Provident Fund</w:t>
      </w:r>
    </w:p>
    <w:p w14:paraId="3E682B6D" w14:textId="77777777" w:rsidR="003E0F3B" w:rsidRPr="003E0F3B" w:rsidRDefault="003E0F3B" w:rsidP="003E0F3B">
      <w:pPr>
        <w:numPr>
          <w:ilvl w:val="0"/>
          <w:numId w:val="6"/>
        </w:numPr>
        <w:shd w:val="clear" w:color="auto" w:fill="FFFFFF"/>
        <w:spacing w:after="0" w:line="330" w:lineRule="atLeast"/>
        <w:jc w:val="both"/>
        <w:rPr>
          <w:rFonts w:ascii="DM Sans" w:eastAsia="Times New Roman" w:hAnsi="DM Sans" w:cs="Times New Roman"/>
          <w:color w:val="000000"/>
          <w:sz w:val="24"/>
          <w:szCs w:val="24"/>
        </w:rPr>
      </w:pPr>
      <w:r w:rsidRPr="003E0F3B">
        <w:rPr>
          <w:rFonts w:ascii="DM Sans" w:eastAsia="Times New Roman" w:hAnsi="DM Sans" w:cs="Times New Roman"/>
          <w:b/>
          <w:bCs/>
          <w:color w:val="000000"/>
          <w:sz w:val="24"/>
          <w:szCs w:val="24"/>
        </w:rPr>
        <w:t>Tax on Recognized Provident Fund</w:t>
      </w:r>
    </w:p>
    <w:p w14:paraId="3D56CEE3" w14:textId="77777777" w:rsidR="003E0F3B" w:rsidRPr="003E0F3B" w:rsidRDefault="003E0F3B" w:rsidP="003E0F3B">
      <w:pPr>
        <w:shd w:val="clear" w:color="auto" w:fill="FFFFFF"/>
        <w:spacing w:after="0" w:line="330" w:lineRule="atLeast"/>
        <w:jc w:val="both"/>
        <w:rPr>
          <w:rFonts w:ascii="DM Sans" w:eastAsia="Times New Roman" w:hAnsi="DM Sans" w:cs="Times New Roman"/>
          <w:color w:val="000000"/>
          <w:sz w:val="27"/>
          <w:szCs w:val="27"/>
        </w:rPr>
      </w:pPr>
      <w:r w:rsidRPr="003E0F3B">
        <w:rPr>
          <w:rFonts w:ascii="DM Sans" w:eastAsia="Times New Roman" w:hAnsi="DM Sans" w:cs="Times New Roman"/>
          <w:color w:val="000000"/>
          <w:sz w:val="27"/>
          <w:szCs w:val="27"/>
        </w:rPr>
        <w:t>When an employer’s contribution to a provident fund reaches 12 percent, it is taxed. The employee’s contribution to the provident fund is taxed.</w:t>
      </w:r>
    </w:p>
    <w:p w14:paraId="464BAF95" w14:textId="77777777" w:rsidR="003E0F3B" w:rsidRPr="003E0F3B" w:rsidRDefault="003E0F3B" w:rsidP="003E0F3B">
      <w:pPr>
        <w:shd w:val="clear" w:color="auto" w:fill="FFFFFF"/>
        <w:spacing w:after="0" w:line="330" w:lineRule="atLeast"/>
        <w:jc w:val="both"/>
        <w:rPr>
          <w:rFonts w:ascii="DM Sans" w:eastAsia="Times New Roman" w:hAnsi="DM Sans" w:cs="Times New Roman"/>
          <w:color w:val="000000"/>
          <w:sz w:val="27"/>
          <w:szCs w:val="27"/>
        </w:rPr>
      </w:pPr>
      <w:r w:rsidRPr="003E0F3B">
        <w:rPr>
          <w:rFonts w:ascii="DM Sans" w:eastAsia="Times New Roman" w:hAnsi="DM Sans" w:cs="Times New Roman"/>
          <w:color w:val="000000"/>
          <w:sz w:val="27"/>
          <w:szCs w:val="27"/>
        </w:rPr>
        <w:t> </w:t>
      </w:r>
    </w:p>
    <w:p w14:paraId="609BCE27" w14:textId="77777777" w:rsidR="003E0F3B" w:rsidRPr="003E0F3B" w:rsidRDefault="003E0F3B" w:rsidP="003E0F3B">
      <w:pPr>
        <w:shd w:val="clear" w:color="auto" w:fill="FFFFFF"/>
        <w:spacing w:after="0" w:line="330" w:lineRule="atLeast"/>
        <w:jc w:val="both"/>
        <w:rPr>
          <w:rFonts w:ascii="DM Sans" w:eastAsia="Times New Roman" w:hAnsi="DM Sans" w:cs="Times New Roman"/>
          <w:color w:val="000000"/>
          <w:sz w:val="27"/>
          <w:szCs w:val="27"/>
        </w:rPr>
      </w:pPr>
      <w:r w:rsidRPr="003E0F3B">
        <w:rPr>
          <w:rFonts w:ascii="DM Sans" w:eastAsia="Times New Roman" w:hAnsi="DM Sans" w:cs="Times New Roman"/>
          <w:color w:val="000000"/>
          <w:sz w:val="27"/>
          <w:szCs w:val="27"/>
        </w:rPr>
        <w:t>Tax will be deducted if the rate of interest credited to the provident fund is greater than 9.5 percent. The retirement payment is tax-free if the following conditions are met:</w:t>
      </w:r>
    </w:p>
    <w:p w14:paraId="5440A501" w14:textId="77777777" w:rsidR="003E0F3B" w:rsidRPr="003E0F3B" w:rsidRDefault="003E0F3B" w:rsidP="003E0F3B">
      <w:pPr>
        <w:numPr>
          <w:ilvl w:val="0"/>
          <w:numId w:val="7"/>
        </w:numPr>
        <w:shd w:val="clear" w:color="auto" w:fill="FFFFFF"/>
        <w:spacing w:after="0" w:line="330" w:lineRule="atLeast"/>
        <w:jc w:val="both"/>
        <w:rPr>
          <w:rFonts w:ascii="DM Sans" w:eastAsia="Times New Roman" w:hAnsi="DM Sans" w:cs="Times New Roman"/>
          <w:color w:val="000000"/>
          <w:sz w:val="24"/>
          <w:szCs w:val="24"/>
        </w:rPr>
      </w:pPr>
      <w:r w:rsidRPr="003E0F3B">
        <w:rPr>
          <w:rFonts w:ascii="DM Sans" w:eastAsia="Times New Roman" w:hAnsi="DM Sans" w:cs="Times New Roman"/>
          <w:color w:val="000000"/>
          <w:sz w:val="24"/>
          <w:szCs w:val="24"/>
        </w:rPr>
        <w:t>If the employer-provided 5 years or more of continuous service.</w:t>
      </w:r>
    </w:p>
    <w:p w14:paraId="4F06F459" w14:textId="77777777" w:rsidR="003E0F3B" w:rsidRPr="003E0F3B" w:rsidRDefault="003E0F3B" w:rsidP="003E0F3B">
      <w:pPr>
        <w:numPr>
          <w:ilvl w:val="0"/>
          <w:numId w:val="7"/>
        </w:numPr>
        <w:shd w:val="clear" w:color="auto" w:fill="FFFFFF"/>
        <w:spacing w:after="0" w:line="330" w:lineRule="atLeast"/>
        <w:jc w:val="both"/>
        <w:rPr>
          <w:rFonts w:ascii="DM Sans" w:eastAsia="Times New Roman" w:hAnsi="DM Sans" w:cs="Times New Roman"/>
          <w:color w:val="000000"/>
          <w:sz w:val="24"/>
          <w:szCs w:val="24"/>
        </w:rPr>
      </w:pPr>
      <w:r w:rsidRPr="003E0F3B">
        <w:rPr>
          <w:rFonts w:ascii="DM Sans" w:eastAsia="Times New Roman" w:hAnsi="DM Sans" w:cs="Times New Roman"/>
          <w:color w:val="000000"/>
          <w:sz w:val="24"/>
          <w:szCs w:val="24"/>
        </w:rPr>
        <w:t>If the employee was fired for a variety of reasons, including health concerns, the employer’s decision to stop doing business, and so forth.</w:t>
      </w:r>
    </w:p>
    <w:p w14:paraId="58D8E421" w14:textId="77777777" w:rsidR="003E0F3B" w:rsidRPr="003E0F3B" w:rsidRDefault="003E0F3B" w:rsidP="003E0F3B">
      <w:pPr>
        <w:numPr>
          <w:ilvl w:val="0"/>
          <w:numId w:val="7"/>
        </w:numPr>
        <w:shd w:val="clear" w:color="auto" w:fill="FFFFFF"/>
        <w:spacing w:after="0" w:line="330" w:lineRule="atLeast"/>
        <w:jc w:val="both"/>
        <w:rPr>
          <w:rFonts w:ascii="DM Sans" w:eastAsia="Times New Roman" w:hAnsi="DM Sans" w:cs="Times New Roman"/>
          <w:color w:val="000000"/>
          <w:sz w:val="24"/>
          <w:szCs w:val="24"/>
        </w:rPr>
      </w:pPr>
      <w:r w:rsidRPr="003E0F3B">
        <w:rPr>
          <w:rFonts w:ascii="DM Sans" w:eastAsia="Times New Roman" w:hAnsi="DM Sans" w:cs="Times New Roman"/>
          <w:color w:val="000000"/>
          <w:sz w:val="24"/>
          <w:szCs w:val="24"/>
        </w:rPr>
        <w:t>If an employee resigns and then returns to work for another company.</w:t>
      </w:r>
    </w:p>
    <w:p w14:paraId="13B4B21D" w14:textId="77777777" w:rsidR="003E0F3B" w:rsidRPr="003E0F3B" w:rsidRDefault="003E0F3B" w:rsidP="003E0F3B">
      <w:pPr>
        <w:numPr>
          <w:ilvl w:val="0"/>
          <w:numId w:val="7"/>
        </w:numPr>
        <w:shd w:val="clear" w:color="auto" w:fill="FFFFFF"/>
        <w:spacing w:after="0" w:line="330" w:lineRule="atLeast"/>
        <w:jc w:val="both"/>
        <w:rPr>
          <w:rFonts w:ascii="DM Sans" w:eastAsia="Times New Roman" w:hAnsi="DM Sans" w:cs="Times New Roman"/>
          <w:color w:val="000000"/>
          <w:sz w:val="24"/>
          <w:szCs w:val="24"/>
        </w:rPr>
      </w:pPr>
      <w:r w:rsidRPr="003E0F3B">
        <w:rPr>
          <w:rFonts w:ascii="DM Sans" w:eastAsia="Times New Roman" w:hAnsi="DM Sans" w:cs="Times New Roman"/>
          <w:color w:val="000000"/>
          <w:sz w:val="24"/>
          <w:szCs w:val="24"/>
        </w:rPr>
        <w:t>If the employee’s complete credit balance is transferred to his or her account under a pension system under section 80CCD.</w:t>
      </w:r>
    </w:p>
    <w:p w14:paraId="1621BA23" w14:textId="77777777" w:rsidR="003E0F3B" w:rsidRPr="003E0F3B" w:rsidRDefault="003E0F3B" w:rsidP="003E0F3B">
      <w:pPr>
        <w:numPr>
          <w:ilvl w:val="0"/>
          <w:numId w:val="8"/>
        </w:numPr>
        <w:shd w:val="clear" w:color="auto" w:fill="FFFFFF"/>
        <w:spacing w:after="0" w:line="330" w:lineRule="atLeast"/>
        <w:jc w:val="both"/>
        <w:rPr>
          <w:rFonts w:ascii="DM Sans" w:eastAsia="Times New Roman" w:hAnsi="DM Sans" w:cs="Times New Roman"/>
          <w:color w:val="000000"/>
          <w:sz w:val="24"/>
          <w:szCs w:val="24"/>
        </w:rPr>
      </w:pPr>
      <w:r w:rsidRPr="003E0F3B">
        <w:rPr>
          <w:rFonts w:ascii="DM Sans" w:eastAsia="Times New Roman" w:hAnsi="DM Sans" w:cs="Times New Roman"/>
          <w:b/>
          <w:bCs/>
          <w:color w:val="000000"/>
          <w:sz w:val="24"/>
          <w:szCs w:val="24"/>
        </w:rPr>
        <w:t>Tax on PPF (Public Provident Fund)</w:t>
      </w:r>
    </w:p>
    <w:p w14:paraId="26EE7BA7" w14:textId="77777777" w:rsidR="003E0F3B" w:rsidRPr="003E0F3B" w:rsidRDefault="003E0F3B" w:rsidP="003E0F3B">
      <w:pPr>
        <w:shd w:val="clear" w:color="auto" w:fill="FFFFFF"/>
        <w:spacing w:after="0" w:line="330" w:lineRule="atLeast"/>
        <w:jc w:val="both"/>
        <w:rPr>
          <w:rFonts w:ascii="DM Sans" w:eastAsia="Times New Roman" w:hAnsi="DM Sans" w:cs="Times New Roman"/>
          <w:color w:val="000000"/>
          <w:sz w:val="27"/>
          <w:szCs w:val="27"/>
        </w:rPr>
      </w:pPr>
      <w:r w:rsidRPr="003E0F3B">
        <w:rPr>
          <w:rFonts w:ascii="DM Sans" w:eastAsia="Times New Roman" w:hAnsi="DM Sans" w:cs="Times New Roman"/>
          <w:color w:val="000000"/>
          <w:sz w:val="27"/>
          <w:szCs w:val="27"/>
        </w:rPr>
        <w:lastRenderedPageBreak/>
        <w:t>The contribution of an employer to a provident fund is taxed. The interest and retirement payments credited to the provident fund are tax-free.</w:t>
      </w:r>
    </w:p>
    <w:p w14:paraId="260A6C38" w14:textId="77777777" w:rsidR="003E0F3B" w:rsidRPr="003E0F3B" w:rsidRDefault="003E0F3B" w:rsidP="003E0F3B">
      <w:pPr>
        <w:numPr>
          <w:ilvl w:val="0"/>
          <w:numId w:val="9"/>
        </w:numPr>
        <w:shd w:val="clear" w:color="auto" w:fill="FFFFFF"/>
        <w:spacing w:after="0" w:line="330" w:lineRule="atLeast"/>
        <w:jc w:val="both"/>
        <w:rPr>
          <w:rFonts w:ascii="DM Sans" w:eastAsia="Times New Roman" w:hAnsi="DM Sans" w:cs="Times New Roman"/>
          <w:color w:val="000000"/>
          <w:sz w:val="24"/>
          <w:szCs w:val="24"/>
        </w:rPr>
      </w:pPr>
      <w:r w:rsidRPr="003E0F3B">
        <w:rPr>
          <w:rFonts w:ascii="DM Sans" w:eastAsia="Times New Roman" w:hAnsi="DM Sans" w:cs="Times New Roman"/>
          <w:b/>
          <w:bCs/>
          <w:color w:val="000000"/>
          <w:sz w:val="24"/>
          <w:szCs w:val="24"/>
        </w:rPr>
        <w:t>Tax on Statutory Provident Fund</w:t>
      </w:r>
    </w:p>
    <w:p w14:paraId="78E65CCF" w14:textId="77777777" w:rsidR="003E0F3B" w:rsidRPr="003E0F3B" w:rsidRDefault="003E0F3B" w:rsidP="003E0F3B">
      <w:pPr>
        <w:shd w:val="clear" w:color="auto" w:fill="FFFFFF"/>
        <w:spacing w:after="0" w:line="330" w:lineRule="atLeast"/>
        <w:jc w:val="both"/>
        <w:rPr>
          <w:rFonts w:ascii="DM Sans" w:eastAsia="Times New Roman" w:hAnsi="DM Sans" w:cs="Times New Roman"/>
          <w:color w:val="000000"/>
          <w:sz w:val="27"/>
          <w:szCs w:val="27"/>
        </w:rPr>
      </w:pPr>
      <w:r w:rsidRPr="003E0F3B">
        <w:rPr>
          <w:rFonts w:ascii="DM Sans" w:eastAsia="Times New Roman" w:hAnsi="DM Sans" w:cs="Times New Roman"/>
          <w:color w:val="000000"/>
          <w:sz w:val="27"/>
          <w:szCs w:val="27"/>
        </w:rPr>
        <w:t>The employer’s contribution to the provident fund is tax-free, while the employee’s contribution is taxed. Tax-free interest and retirement payments are credited to the provident fund.</w:t>
      </w:r>
    </w:p>
    <w:p w14:paraId="38836171" w14:textId="77777777" w:rsidR="003E0F3B" w:rsidRPr="003E0F3B" w:rsidRDefault="003E0F3B" w:rsidP="003E0F3B">
      <w:pPr>
        <w:numPr>
          <w:ilvl w:val="0"/>
          <w:numId w:val="10"/>
        </w:numPr>
        <w:shd w:val="clear" w:color="auto" w:fill="FFFFFF"/>
        <w:spacing w:after="0" w:line="330" w:lineRule="atLeast"/>
        <w:jc w:val="both"/>
        <w:rPr>
          <w:rFonts w:ascii="DM Sans" w:eastAsia="Times New Roman" w:hAnsi="DM Sans" w:cs="Times New Roman"/>
          <w:color w:val="000000"/>
          <w:sz w:val="24"/>
          <w:szCs w:val="24"/>
        </w:rPr>
      </w:pPr>
      <w:r w:rsidRPr="003E0F3B">
        <w:rPr>
          <w:rFonts w:ascii="DM Sans" w:eastAsia="Times New Roman" w:hAnsi="DM Sans" w:cs="Times New Roman"/>
          <w:b/>
          <w:bCs/>
          <w:color w:val="000000"/>
          <w:sz w:val="24"/>
          <w:szCs w:val="24"/>
        </w:rPr>
        <w:t xml:space="preserve">Tax on </w:t>
      </w:r>
      <w:proofErr w:type="spellStart"/>
      <w:r w:rsidRPr="003E0F3B">
        <w:rPr>
          <w:rFonts w:ascii="DM Sans" w:eastAsia="Times New Roman" w:hAnsi="DM Sans" w:cs="Times New Roman"/>
          <w:b/>
          <w:bCs/>
          <w:color w:val="000000"/>
          <w:sz w:val="24"/>
          <w:szCs w:val="24"/>
        </w:rPr>
        <w:t>Unrecognised</w:t>
      </w:r>
      <w:proofErr w:type="spellEnd"/>
      <w:r w:rsidRPr="003E0F3B">
        <w:rPr>
          <w:rFonts w:ascii="DM Sans" w:eastAsia="Times New Roman" w:hAnsi="DM Sans" w:cs="Times New Roman"/>
          <w:b/>
          <w:bCs/>
          <w:color w:val="000000"/>
          <w:sz w:val="24"/>
          <w:szCs w:val="24"/>
        </w:rPr>
        <w:t xml:space="preserve"> Provident Fund</w:t>
      </w:r>
    </w:p>
    <w:p w14:paraId="233E09CA" w14:textId="77777777" w:rsidR="003E0F3B" w:rsidRPr="003E0F3B" w:rsidRDefault="003E0F3B" w:rsidP="003E0F3B">
      <w:pPr>
        <w:shd w:val="clear" w:color="auto" w:fill="FFFFFF"/>
        <w:spacing w:after="0" w:line="330" w:lineRule="atLeast"/>
        <w:jc w:val="both"/>
        <w:rPr>
          <w:rFonts w:ascii="DM Sans" w:eastAsia="Times New Roman" w:hAnsi="DM Sans" w:cs="Times New Roman"/>
          <w:color w:val="000000"/>
          <w:sz w:val="27"/>
          <w:szCs w:val="27"/>
        </w:rPr>
      </w:pPr>
      <w:r w:rsidRPr="003E0F3B">
        <w:rPr>
          <w:rFonts w:ascii="DM Sans" w:eastAsia="Times New Roman" w:hAnsi="DM Sans" w:cs="Times New Roman"/>
          <w:color w:val="000000"/>
          <w:sz w:val="27"/>
          <w:szCs w:val="27"/>
        </w:rPr>
        <w:t>Employer contributions to a provident fund are tax-deductible. Under the following circumstances, the retirement payment is taxable:</w:t>
      </w:r>
    </w:p>
    <w:p w14:paraId="1E0A46C7" w14:textId="77777777" w:rsidR="003E0F3B" w:rsidRPr="003E0F3B" w:rsidRDefault="003E0F3B" w:rsidP="003E0F3B">
      <w:pPr>
        <w:numPr>
          <w:ilvl w:val="0"/>
          <w:numId w:val="11"/>
        </w:numPr>
        <w:shd w:val="clear" w:color="auto" w:fill="FFFFFF"/>
        <w:spacing w:after="0" w:line="330" w:lineRule="atLeast"/>
        <w:jc w:val="both"/>
        <w:rPr>
          <w:rFonts w:ascii="DM Sans" w:eastAsia="Times New Roman" w:hAnsi="DM Sans" w:cs="Times New Roman"/>
          <w:color w:val="000000"/>
          <w:sz w:val="24"/>
          <w:szCs w:val="24"/>
        </w:rPr>
      </w:pPr>
      <w:r w:rsidRPr="003E0F3B">
        <w:rPr>
          <w:rFonts w:ascii="DM Sans" w:eastAsia="Times New Roman" w:hAnsi="DM Sans" w:cs="Times New Roman"/>
          <w:color w:val="000000"/>
          <w:sz w:val="24"/>
          <w:szCs w:val="24"/>
        </w:rPr>
        <w:t xml:space="preserve">Under the heading </w:t>
      </w:r>
      <w:proofErr w:type="gramStart"/>
      <w:r w:rsidRPr="003E0F3B">
        <w:rPr>
          <w:rFonts w:ascii="DM Sans" w:eastAsia="Times New Roman" w:hAnsi="DM Sans" w:cs="Times New Roman"/>
          <w:color w:val="000000"/>
          <w:sz w:val="24"/>
          <w:szCs w:val="24"/>
        </w:rPr>
        <w:t>Salaries</w:t>
      </w:r>
      <w:proofErr w:type="gramEnd"/>
      <w:r w:rsidRPr="003E0F3B">
        <w:rPr>
          <w:rFonts w:ascii="DM Sans" w:eastAsia="Times New Roman" w:hAnsi="DM Sans" w:cs="Times New Roman"/>
          <w:color w:val="000000"/>
          <w:sz w:val="24"/>
          <w:szCs w:val="24"/>
        </w:rPr>
        <w:t>, payments received in respect of the employer’s contribution and interest are taxed.</w:t>
      </w:r>
    </w:p>
    <w:p w14:paraId="0B4A0335" w14:textId="77777777" w:rsidR="003E0F3B" w:rsidRPr="003E0F3B" w:rsidRDefault="003E0F3B" w:rsidP="003E0F3B">
      <w:pPr>
        <w:numPr>
          <w:ilvl w:val="0"/>
          <w:numId w:val="11"/>
        </w:numPr>
        <w:shd w:val="clear" w:color="auto" w:fill="FFFFFF"/>
        <w:spacing w:after="0" w:line="330" w:lineRule="atLeast"/>
        <w:jc w:val="both"/>
        <w:rPr>
          <w:rFonts w:ascii="DM Sans" w:eastAsia="Times New Roman" w:hAnsi="DM Sans" w:cs="Times New Roman"/>
          <w:color w:val="000000"/>
          <w:sz w:val="24"/>
          <w:szCs w:val="24"/>
        </w:rPr>
      </w:pPr>
      <w:r w:rsidRPr="003E0F3B">
        <w:rPr>
          <w:rFonts w:ascii="DM Sans" w:eastAsia="Times New Roman" w:hAnsi="DM Sans" w:cs="Times New Roman"/>
          <w:color w:val="000000"/>
          <w:sz w:val="24"/>
          <w:szCs w:val="24"/>
        </w:rPr>
        <w:t>Payments received in exchange for interest on an employee’s contribution are taxable as income from other sources.</w:t>
      </w:r>
    </w:p>
    <w:p w14:paraId="3169C399" w14:textId="77777777" w:rsidR="003E0F3B" w:rsidRPr="003E0F3B" w:rsidRDefault="003E0F3B" w:rsidP="003E0F3B">
      <w:pPr>
        <w:numPr>
          <w:ilvl w:val="0"/>
          <w:numId w:val="11"/>
        </w:numPr>
        <w:shd w:val="clear" w:color="auto" w:fill="FFFFFF"/>
        <w:spacing w:after="0" w:line="330" w:lineRule="atLeast"/>
        <w:jc w:val="both"/>
        <w:rPr>
          <w:rFonts w:ascii="DM Sans" w:eastAsia="Times New Roman" w:hAnsi="DM Sans" w:cs="Times New Roman"/>
          <w:color w:val="000000"/>
          <w:sz w:val="24"/>
          <w:szCs w:val="24"/>
        </w:rPr>
      </w:pPr>
      <w:r w:rsidRPr="003E0F3B">
        <w:rPr>
          <w:rFonts w:ascii="DM Sans" w:eastAsia="Times New Roman" w:hAnsi="DM Sans" w:cs="Times New Roman"/>
          <w:color w:val="000000"/>
          <w:sz w:val="24"/>
          <w:szCs w:val="24"/>
        </w:rPr>
        <w:t>Payments received in exchange for an employee’s contribution are not taxed.</w:t>
      </w:r>
    </w:p>
    <w:p w14:paraId="486FC389" w14:textId="77777777" w:rsidR="003E0F3B" w:rsidRDefault="003E0F3B" w:rsidP="003E0F3B">
      <w:pPr>
        <w:shd w:val="clear" w:color="auto" w:fill="FFFFFF"/>
        <w:spacing w:after="0" w:line="240" w:lineRule="auto"/>
        <w:rPr>
          <w:rFonts w:ascii="Arial" w:eastAsia="Times New Roman" w:hAnsi="Arial" w:cs="Arial"/>
          <w:b/>
          <w:bCs/>
          <w:color w:val="202124"/>
          <w:sz w:val="36"/>
          <w:szCs w:val="36"/>
          <w:u w:val="single"/>
        </w:rPr>
      </w:pPr>
    </w:p>
    <w:p w14:paraId="517A602B" w14:textId="77777777" w:rsidR="003E0F3B" w:rsidRDefault="003E0F3B" w:rsidP="003E0F3B">
      <w:pPr>
        <w:shd w:val="clear" w:color="auto" w:fill="FFFFFF"/>
        <w:spacing w:after="0" w:line="240" w:lineRule="auto"/>
        <w:jc w:val="center"/>
        <w:rPr>
          <w:rFonts w:ascii="Arial" w:eastAsia="Times New Roman" w:hAnsi="Arial" w:cs="Arial"/>
          <w:b/>
          <w:bCs/>
          <w:color w:val="202124"/>
          <w:sz w:val="36"/>
          <w:szCs w:val="36"/>
          <w:u w:val="single"/>
        </w:rPr>
      </w:pPr>
    </w:p>
    <w:p w14:paraId="13CB5D32" w14:textId="3358F642" w:rsidR="003E0F3B" w:rsidRDefault="003E0F3B" w:rsidP="003E0F3B">
      <w:pPr>
        <w:shd w:val="clear" w:color="auto" w:fill="FFFFFF"/>
        <w:spacing w:after="0" w:line="240" w:lineRule="auto"/>
        <w:jc w:val="center"/>
        <w:rPr>
          <w:rFonts w:ascii="Arial" w:eastAsia="Times New Roman" w:hAnsi="Arial" w:cs="Arial"/>
          <w:b/>
          <w:bCs/>
          <w:color w:val="202124"/>
          <w:sz w:val="36"/>
          <w:szCs w:val="36"/>
        </w:rPr>
      </w:pPr>
      <w:r>
        <w:rPr>
          <w:noProof/>
        </w:rPr>
        <w:drawing>
          <wp:inline distT="0" distB="0" distL="0" distR="0" wp14:anchorId="760DD57F" wp14:editId="78E9907D">
            <wp:extent cx="5943600" cy="335661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3356610"/>
                    </a:xfrm>
                    <a:prstGeom prst="rect">
                      <a:avLst/>
                    </a:prstGeom>
                  </pic:spPr>
                </pic:pic>
              </a:graphicData>
            </a:graphic>
          </wp:inline>
        </w:drawing>
      </w:r>
    </w:p>
    <w:p w14:paraId="76EC1CB6" w14:textId="5B16710B" w:rsidR="003E0F3B" w:rsidRDefault="003E0F3B" w:rsidP="003E0F3B">
      <w:pPr>
        <w:shd w:val="clear" w:color="auto" w:fill="FFFFFF"/>
        <w:spacing w:after="0" w:line="240" w:lineRule="auto"/>
        <w:jc w:val="center"/>
        <w:rPr>
          <w:rFonts w:ascii="Arial" w:eastAsia="Times New Roman" w:hAnsi="Arial" w:cs="Arial"/>
          <w:b/>
          <w:bCs/>
          <w:color w:val="202124"/>
          <w:sz w:val="36"/>
          <w:szCs w:val="36"/>
        </w:rPr>
      </w:pPr>
    </w:p>
    <w:p w14:paraId="6AC8BB06" w14:textId="77777777" w:rsidR="003E0F3B" w:rsidRDefault="003E0F3B" w:rsidP="003E0F3B">
      <w:pPr>
        <w:pStyle w:val="NormalWeb"/>
        <w:shd w:val="clear" w:color="auto" w:fill="FFFFFF"/>
        <w:spacing w:before="0" w:beforeAutospacing="0" w:after="0" w:afterAutospacing="0" w:line="330" w:lineRule="atLeast"/>
        <w:jc w:val="both"/>
        <w:rPr>
          <w:rFonts w:ascii="DM Sans" w:hAnsi="DM Sans"/>
          <w:color w:val="000000"/>
          <w:sz w:val="27"/>
          <w:szCs w:val="27"/>
        </w:rPr>
      </w:pPr>
      <w:r>
        <w:rPr>
          <w:rStyle w:val="Strong"/>
          <w:rFonts w:ascii="DM Sans" w:hAnsi="DM Sans"/>
          <w:color w:val="000000"/>
          <w:sz w:val="27"/>
          <w:szCs w:val="27"/>
        </w:rPr>
        <w:t>Conclusion</w:t>
      </w:r>
    </w:p>
    <w:p w14:paraId="31BBC4AD" w14:textId="77777777" w:rsidR="003E0F3B" w:rsidRDefault="003E0F3B" w:rsidP="003E0F3B">
      <w:pPr>
        <w:pStyle w:val="zw-paragraph"/>
        <w:shd w:val="clear" w:color="auto" w:fill="FFFFFF"/>
        <w:spacing w:before="0" w:beforeAutospacing="0" w:after="0" w:afterAutospacing="0" w:line="330" w:lineRule="atLeast"/>
        <w:jc w:val="both"/>
        <w:rPr>
          <w:rFonts w:ascii="DM Sans" w:hAnsi="DM Sans"/>
          <w:color w:val="000000"/>
          <w:sz w:val="27"/>
          <w:szCs w:val="27"/>
        </w:rPr>
      </w:pPr>
      <w:r>
        <w:rPr>
          <w:rFonts w:ascii="DM Sans" w:hAnsi="DM Sans"/>
          <w:color w:val="000000"/>
          <w:sz w:val="27"/>
          <w:szCs w:val="27"/>
        </w:rPr>
        <w:t xml:space="preserve">The government has established numerous types of provident funds to encourage employees to save for their social security. In many circumstances, the employer also contributes a specified proportion of the </w:t>
      </w:r>
      <w:r>
        <w:rPr>
          <w:rFonts w:ascii="DM Sans" w:hAnsi="DM Sans"/>
          <w:color w:val="000000"/>
          <w:sz w:val="27"/>
          <w:szCs w:val="27"/>
        </w:rPr>
        <w:lastRenderedPageBreak/>
        <w:t>employee’s salary to these accounts. The full amount of the donation, plus interest, is credited to the employee’s account. He will be paid from this money when he retires, as well as on other significant events. The employee’s heirs will receive the entire sum if he dies.</w:t>
      </w:r>
    </w:p>
    <w:p w14:paraId="06FBA7D0" w14:textId="3AB6258C" w:rsidR="003E0F3B" w:rsidRDefault="003E0F3B" w:rsidP="003E0F3B">
      <w:pPr>
        <w:shd w:val="clear" w:color="auto" w:fill="FFFFFF"/>
        <w:spacing w:after="0" w:line="240" w:lineRule="auto"/>
        <w:jc w:val="center"/>
        <w:rPr>
          <w:rFonts w:ascii="Arial" w:eastAsia="Times New Roman" w:hAnsi="Arial" w:cs="Arial"/>
          <w:b/>
          <w:bCs/>
          <w:color w:val="202124"/>
          <w:sz w:val="36"/>
          <w:szCs w:val="36"/>
        </w:rPr>
      </w:pPr>
    </w:p>
    <w:p w14:paraId="55893262" w14:textId="05922804" w:rsidR="00582251" w:rsidRDefault="003E0F3B" w:rsidP="003E0F3B">
      <w:pPr>
        <w:shd w:val="clear" w:color="auto" w:fill="FFFFFF"/>
        <w:spacing w:after="0" w:line="240" w:lineRule="auto"/>
        <w:jc w:val="center"/>
        <w:rPr>
          <w:rFonts w:ascii="Arial" w:eastAsia="Times New Roman" w:hAnsi="Arial" w:cs="Arial"/>
          <w:b/>
          <w:bCs/>
          <w:color w:val="202124"/>
          <w:sz w:val="36"/>
          <w:szCs w:val="36"/>
          <w:u w:val="single"/>
        </w:rPr>
      </w:pPr>
      <w:r w:rsidRPr="003E0F3B">
        <w:rPr>
          <w:rFonts w:ascii="Arial" w:eastAsia="Times New Roman" w:hAnsi="Arial" w:cs="Arial"/>
          <w:b/>
          <w:bCs/>
          <w:color w:val="202124"/>
          <w:sz w:val="36"/>
          <w:szCs w:val="36"/>
          <w:u w:val="single"/>
        </w:rPr>
        <w:t>Q-2 Agricultural income</w:t>
      </w:r>
    </w:p>
    <w:p w14:paraId="5315CE09" w14:textId="068E0C09" w:rsidR="003E0F3B" w:rsidRDefault="003E0F3B" w:rsidP="003E0F3B">
      <w:pPr>
        <w:shd w:val="clear" w:color="auto" w:fill="FFFFFF"/>
        <w:spacing w:after="0" w:line="240" w:lineRule="auto"/>
        <w:jc w:val="center"/>
        <w:rPr>
          <w:rFonts w:ascii="Arial" w:eastAsia="Times New Roman" w:hAnsi="Arial" w:cs="Arial"/>
          <w:b/>
          <w:bCs/>
          <w:color w:val="202124"/>
          <w:sz w:val="36"/>
          <w:szCs w:val="36"/>
          <w:u w:val="single"/>
        </w:rPr>
      </w:pPr>
    </w:p>
    <w:p w14:paraId="127063CE" w14:textId="6F05E7A1" w:rsidR="003E0F3B" w:rsidRDefault="003E0F3B" w:rsidP="003E0F3B">
      <w:pPr>
        <w:shd w:val="clear" w:color="auto" w:fill="FFFFFF"/>
        <w:spacing w:after="0" w:line="240" w:lineRule="auto"/>
        <w:rPr>
          <w:rFonts w:ascii="Arial" w:eastAsia="Times New Roman" w:hAnsi="Arial" w:cs="Arial"/>
          <w:b/>
          <w:bCs/>
          <w:color w:val="202124"/>
          <w:sz w:val="36"/>
          <w:szCs w:val="36"/>
          <w:u w:val="single"/>
        </w:rPr>
      </w:pPr>
      <w:r>
        <w:rPr>
          <w:noProof/>
        </w:rPr>
        <w:drawing>
          <wp:inline distT="0" distB="0" distL="0" distR="0" wp14:anchorId="719630F0" wp14:editId="29E06D3C">
            <wp:extent cx="4257675" cy="176212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257675" cy="1762125"/>
                    </a:xfrm>
                    <a:prstGeom prst="rect">
                      <a:avLst/>
                    </a:prstGeom>
                  </pic:spPr>
                </pic:pic>
              </a:graphicData>
            </a:graphic>
          </wp:inline>
        </w:drawing>
      </w:r>
    </w:p>
    <w:p w14:paraId="50940505" w14:textId="599182A2" w:rsidR="003E0F3B" w:rsidRDefault="003E0F3B" w:rsidP="003E0F3B">
      <w:pPr>
        <w:shd w:val="clear" w:color="auto" w:fill="FFFFFF"/>
        <w:spacing w:after="0" w:line="240" w:lineRule="auto"/>
        <w:rPr>
          <w:rFonts w:ascii="Arial" w:eastAsia="Times New Roman" w:hAnsi="Arial" w:cs="Arial"/>
          <w:b/>
          <w:bCs/>
          <w:color w:val="202124"/>
          <w:sz w:val="36"/>
          <w:szCs w:val="36"/>
          <w:u w:val="single"/>
        </w:rPr>
      </w:pPr>
    </w:p>
    <w:p w14:paraId="3E4D5752" w14:textId="1265F1F4" w:rsidR="003E0F3B" w:rsidRDefault="003E0F3B" w:rsidP="003E0F3B">
      <w:pPr>
        <w:shd w:val="clear" w:color="auto" w:fill="FFFFFF"/>
        <w:spacing w:after="0" w:line="240" w:lineRule="auto"/>
        <w:rPr>
          <w:rFonts w:ascii="Arial" w:eastAsia="Times New Roman" w:hAnsi="Arial" w:cs="Arial"/>
          <w:b/>
          <w:bCs/>
          <w:color w:val="202124"/>
          <w:sz w:val="36"/>
          <w:szCs w:val="36"/>
          <w:u w:val="single"/>
        </w:rPr>
      </w:pPr>
      <w:r>
        <w:rPr>
          <w:noProof/>
        </w:rPr>
        <w:drawing>
          <wp:inline distT="0" distB="0" distL="0" distR="0" wp14:anchorId="1AB67273" wp14:editId="0B1DD44B">
            <wp:extent cx="5943600" cy="181038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3600" cy="1810385"/>
                    </a:xfrm>
                    <a:prstGeom prst="rect">
                      <a:avLst/>
                    </a:prstGeom>
                  </pic:spPr>
                </pic:pic>
              </a:graphicData>
            </a:graphic>
          </wp:inline>
        </w:drawing>
      </w:r>
    </w:p>
    <w:p w14:paraId="6BFFD3A9" w14:textId="5067F92C" w:rsidR="003E0F3B" w:rsidRDefault="003E0F3B" w:rsidP="003E0F3B">
      <w:pPr>
        <w:shd w:val="clear" w:color="auto" w:fill="FFFFFF"/>
        <w:spacing w:after="0" w:line="240" w:lineRule="auto"/>
        <w:rPr>
          <w:rFonts w:ascii="Arial" w:eastAsia="Times New Roman" w:hAnsi="Arial" w:cs="Arial"/>
          <w:b/>
          <w:bCs/>
          <w:color w:val="202124"/>
          <w:sz w:val="36"/>
          <w:szCs w:val="36"/>
          <w:u w:val="single"/>
        </w:rPr>
      </w:pPr>
    </w:p>
    <w:p w14:paraId="3FCEF3B6" w14:textId="7D0C47FA" w:rsidR="003E0F3B" w:rsidRDefault="004F4BA1" w:rsidP="003E0F3B">
      <w:pPr>
        <w:shd w:val="clear" w:color="auto" w:fill="FFFFFF"/>
        <w:spacing w:after="0" w:line="240" w:lineRule="auto"/>
        <w:rPr>
          <w:rFonts w:ascii="Arial" w:eastAsia="Times New Roman" w:hAnsi="Arial" w:cs="Arial"/>
          <w:b/>
          <w:bCs/>
          <w:color w:val="202124"/>
          <w:sz w:val="36"/>
          <w:szCs w:val="36"/>
          <w:u w:val="single"/>
        </w:rPr>
      </w:pPr>
      <w:r>
        <w:rPr>
          <w:noProof/>
        </w:rPr>
        <w:lastRenderedPageBreak/>
        <w:drawing>
          <wp:inline distT="0" distB="0" distL="0" distR="0" wp14:anchorId="5AE1661F" wp14:editId="342EA8BE">
            <wp:extent cx="5943600" cy="415353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4153535"/>
                    </a:xfrm>
                    <a:prstGeom prst="rect">
                      <a:avLst/>
                    </a:prstGeom>
                  </pic:spPr>
                </pic:pic>
              </a:graphicData>
            </a:graphic>
          </wp:inline>
        </w:drawing>
      </w:r>
    </w:p>
    <w:p w14:paraId="5B32428C" w14:textId="322FD119" w:rsidR="004F4BA1" w:rsidRDefault="004F4BA1" w:rsidP="003E0F3B">
      <w:pPr>
        <w:shd w:val="clear" w:color="auto" w:fill="FFFFFF"/>
        <w:spacing w:after="0" w:line="240" w:lineRule="auto"/>
        <w:rPr>
          <w:rFonts w:ascii="Arial" w:eastAsia="Times New Roman" w:hAnsi="Arial" w:cs="Arial"/>
          <w:b/>
          <w:bCs/>
          <w:color w:val="202124"/>
          <w:sz w:val="36"/>
          <w:szCs w:val="36"/>
          <w:u w:val="single"/>
        </w:rPr>
      </w:pPr>
    </w:p>
    <w:p w14:paraId="6F75768F" w14:textId="5AD46BD0" w:rsidR="004F4BA1" w:rsidRDefault="004F4BA1" w:rsidP="003E0F3B">
      <w:pPr>
        <w:shd w:val="clear" w:color="auto" w:fill="FFFFFF"/>
        <w:spacing w:after="0" w:line="240" w:lineRule="auto"/>
        <w:rPr>
          <w:rFonts w:ascii="Arial" w:eastAsia="Times New Roman" w:hAnsi="Arial" w:cs="Arial"/>
          <w:b/>
          <w:bCs/>
          <w:color w:val="202124"/>
          <w:sz w:val="36"/>
          <w:szCs w:val="36"/>
          <w:u w:val="single"/>
        </w:rPr>
      </w:pPr>
      <w:r>
        <w:rPr>
          <w:noProof/>
        </w:rPr>
        <w:drawing>
          <wp:inline distT="0" distB="0" distL="0" distR="0" wp14:anchorId="3435C860" wp14:editId="74401E39">
            <wp:extent cx="5943600" cy="24066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2406650"/>
                    </a:xfrm>
                    <a:prstGeom prst="rect">
                      <a:avLst/>
                    </a:prstGeom>
                  </pic:spPr>
                </pic:pic>
              </a:graphicData>
            </a:graphic>
          </wp:inline>
        </w:drawing>
      </w:r>
    </w:p>
    <w:p w14:paraId="2238F530" w14:textId="7E22F81E" w:rsidR="004F4BA1" w:rsidRDefault="004F4BA1" w:rsidP="003E0F3B">
      <w:pPr>
        <w:shd w:val="clear" w:color="auto" w:fill="FFFFFF"/>
        <w:spacing w:after="0" w:line="240" w:lineRule="auto"/>
        <w:rPr>
          <w:rFonts w:ascii="Arial" w:eastAsia="Times New Roman" w:hAnsi="Arial" w:cs="Arial"/>
          <w:b/>
          <w:bCs/>
          <w:color w:val="202124"/>
          <w:sz w:val="36"/>
          <w:szCs w:val="36"/>
          <w:u w:val="single"/>
        </w:rPr>
      </w:pPr>
    </w:p>
    <w:p w14:paraId="1E959441" w14:textId="4B006109" w:rsidR="004F4BA1" w:rsidRDefault="004F4BA1" w:rsidP="003E0F3B">
      <w:pPr>
        <w:shd w:val="clear" w:color="auto" w:fill="FFFFFF"/>
        <w:spacing w:after="0" w:line="240" w:lineRule="auto"/>
        <w:rPr>
          <w:rFonts w:ascii="Arial" w:eastAsia="Times New Roman" w:hAnsi="Arial" w:cs="Arial"/>
          <w:b/>
          <w:bCs/>
          <w:color w:val="202124"/>
          <w:sz w:val="36"/>
          <w:szCs w:val="36"/>
          <w:u w:val="single"/>
        </w:rPr>
      </w:pPr>
      <w:r>
        <w:rPr>
          <w:noProof/>
        </w:rPr>
        <w:lastRenderedPageBreak/>
        <w:drawing>
          <wp:inline distT="0" distB="0" distL="0" distR="0" wp14:anchorId="0A817F0A" wp14:editId="748FC834">
            <wp:extent cx="5943600" cy="400177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4001770"/>
                    </a:xfrm>
                    <a:prstGeom prst="rect">
                      <a:avLst/>
                    </a:prstGeom>
                  </pic:spPr>
                </pic:pic>
              </a:graphicData>
            </a:graphic>
          </wp:inline>
        </w:drawing>
      </w:r>
    </w:p>
    <w:p w14:paraId="689770B5" w14:textId="14CBB2D0" w:rsidR="004F4BA1" w:rsidRDefault="004F4BA1" w:rsidP="003E0F3B">
      <w:pPr>
        <w:shd w:val="clear" w:color="auto" w:fill="FFFFFF"/>
        <w:spacing w:after="0" w:line="240" w:lineRule="auto"/>
        <w:rPr>
          <w:rFonts w:ascii="Arial" w:eastAsia="Times New Roman" w:hAnsi="Arial" w:cs="Arial"/>
          <w:b/>
          <w:bCs/>
          <w:color w:val="202124"/>
          <w:sz w:val="36"/>
          <w:szCs w:val="36"/>
          <w:u w:val="single"/>
        </w:rPr>
      </w:pPr>
    </w:p>
    <w:p w14:paraId="65978DFB" w14:textId="768C050B" w:rsidR="004F4BA1" w:rsidRDefault="004F4BA1" w:rsidP="003E0F3B">
      <w:pPr>
        <w:shd w:val="clear" w:color="auto" w:fill="FFFFFF"/>
        <w:spacing w:after="0" w:line="240" w:lineRule="auto"/>
        <w:rPr>
          <w:rFonts w:ascii="Arial" w:eastAsia="Times New Roman" w:hAnsi="Arial" w:cs="Arial"/>
          <w:b/>
          <w:bCs/>
          <w:color w:val="202124"/>
          <w:sz w:val="36"/>
          <w:szCs w:val="36"/>
          <w:u w:val="single"/>
        </w:rPr>
      </w:pPr>
      <w:r>
        <w:rPr>
          <w:noProof/>
        </w:rPr>
        <w:drawing>
          <wp:inline distT="0" distB="0" distL="0" distR="0" wp14:anchorId="38B52237" wp14:editId="17EE5FC4">
            <wp:extent cx="5724525" cy="353377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24525" cy="3533775"/>
                    </a:xfrm>
                    <a:prstGeom prst="rect">
                      <a:avLst/>
                    </a:prstGeom>
                  </pic:spPr>
                </pic:pic>
              </a:graphicData>
            </a:graphic>
          </wp:inline>
        </w:drawing>
      </w:r>
    </w:p>
    <w:p w14:paraId="6D2A8746" w14:textId="282F217F" w:rsidR="004F4BA1" w:rsidRDefault="004F4BA1" w:rsidP="003E0F3B">
      <w:pPr>
        <w:shd w:val="clear" w:color="auto" w:fill="FFFFFF"/>
        <w:spacing w:after="0" w:line="240" w:lineRule="auto"/>
        <w:rPr>
          <w:rFonts w:ascii="Arial" w:eastAsia="Times New Roman" w:hAnsi="Arial" w:cs="Arial"/>
          <w:b/>
          <w:bCs/>
          <w:color w:val="202124"/>
          <w:sz w:val="36"/>
          <w:szCs w:val="36"/>
          <w:u w:val="single"/>
        </w:rPr>
      </w:pPr>
      <w:r>
        <w:rPr>
          <w:noProof/>
        </w:rPr>
        <w:lastRenderedPageBreak/>
        <w:drawing>
          <wp:inline distT="0" distB="0" distL="0" distR="0" wp14:anchorId="4C50B3C5" wp14:editId="3886D892">
            <wp:extent cx="5943600" cy="4335145"/>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4335145"/>
                    </a:xfrm>
                    <a:prstGeom prst="rect">
                      <a:avLst/>
                    </a:prstGeom>
                  </pic:spPr>
                </pic:pic>
              </a:graphicData>
            </a:graphic>
          </wp:inline>
        </w:drawing>
      </w:r>
    </w:p>
    <w:p w14:paraId="3324D16A" w14:textId="2682A5E7" w:rsidR="004F4BA1" w:rsidRDefault="004F4BA1" w:rsidP="003E0F3B">
      <w:pPr>
        <w:shd w:val="clear" w:color="auto" w:fill="FFFFFF"/>
        <w:spacing w:after="0" w:line="240" w:lineRule="auto"/>
        <w:rPr>
          <w:rFonts w:ascii="Arial" w:eastAsia="Times New Roman" w:hAnsi="Arial" w:cs="Arial"/>
          <w:b/>
          <w:bCs/>
          <w:color w:val="202124"/>
          <w:sz w:val="36"/>
          <w:szCs w:val="36"/>
          <w:u w:val="single"/>
        </w:rPr>
      </w:pPr>
    </w:p>
    <w:p w14:paraId="7D2352F3" w14:textId="4D50C48E" w:rsidR="004F4BA1" w:rsidRPr="003E0F3B" w:rsidRDefault="004F4BA1" w:rsidP="003E0F3B">
      <w:pPr>
        <w:shd w:val="clear" w:color="auto" w:fill="FFFFFF"/>
        <w:spacing w:after="0" w:line="240" w:lineRule="auto"/>
        <w:rPr>
          <w:rFonts w:ascii="Arial" w:eastAsia="Times New Roman" w:hAnsi="Arial" w:cs="Arial"/>
          <w:b/>
          <w:bCs/>
          <w:color w:val="202124"/>
          <w:sz w:val="36"/>
          <w:szCs w:val="36"/>
          <w:u w:val="single"/>
        </w:rPr>
      </w:pPr>
      <w:r>
        <w:rPr>
          <w:rFonts w:ascii="Arial" w:eastAsia="Times New Roman" w:hAnsi="Arial" w:cs="Arial"/>
          <w:b/>
          <w:bCs/>
          <w:color w:val="202124"/>
          <w:sz w:val="36"/>
          <w:szCs w:val="36"/>
          <w:u w:val="single"/>
        </w:rPr>
        <w:t>Agricultural income is exempted from the tax in Pakistan.</w:t>
      </w:r>
    </w:p>
    <w:p w14:paraId="5BDF7538" w14:textId="77777777" w:rsidR="00582251" w:rsidRDefault="00582251" w:rsidP="003B3A49">
      <w:pPr>
        <w:shd w:val="clear" w:color="auto" w:fill="FFFFFF"/>
        <w:spacing w:after="0" w:line="240" w:lineRule="auto"/>
        <w:rPr>
          <w:rFonts w:ascii="Arial" w:hAnsi="Arial" w:cs="Arial"/>
          <w:color w:val="202124"/>
          <w:shd w:val="clear" w:color="auto" w:fill="FFFFFF"/>
        </w:rPr>
      </w:pPr>
    </w:p>
    <w:p w14:paraId="167A5EFB" w14:textId="6F9A7D66" w:rsidR="003B3A49" w:rsidRDefault="003B3A49" w:rsidP="003B3A49">
      <w:pPr>
        <w:shd w:val="clear" w:color="auto" w:fill="FFFFFF"/>
        <w:spacing w:after="0" w:line="240" w:lineRule="auto"/>
        <w:rPr>
          <w:rFonts w:ascii="Arial" w:hAnsi="Arial" w:cs="Arial"/>
          <w:color w:val="202124"/>
          <w:shd w:val="clear" w:color="auto" w:fill="FFFFFF"/>
        </w:rPr>
      </w:pPr>
    </w:p>
    <w:p w14:paraId="14C9B76E" w14:textId="77777777" w:rsidR="003B3A49" w:rsidRDefault="003B3A49" w:rsidP="003B3A49">
      <w:pPr>
        <w:shd w:val="clear" w:color="auto" w:fill="FFFFFF"/>
        <w:spacing w:after="0" w:line="240" w:lineRule="auto"/>
        <w:rPr>
          <w:rFonts w:ascii="Arial" w:eastAsia="Times New Roman" w:hAnsi="Arial" w:cs="Arial"/>
          <w:b/>
          <w:bCs/>
          <w:color w:val="202124"/>
          <w:sz w:val="36"/>
          <w:szCs w:val="36"/>
          <w:u w:val="single"/>
        </w:rPr>
      </w:pPr>
    </w:p>
    <w:p w14:paraId="0496647E" w14:textId="1899E3DC" w:rsidR="003B3A49" w:rsidRDefault="003B3A49" w:rsidP="003B3A49">
      <w:pPr>
        <w:shd w:val="clear" w:color="auto" w:fill="FFFFFF"/>
        <w:spacing w:after="0" w:line="240" w:lineRule="auto"/>
        <w:jc w:val="center"/>
        <w:rPr>
          <w:rFonts w:ascii="Arial" w:eastAsia="Times New Roman" w:hAnsi="Arial" w:cs="Arial"/>
          <w:b/>
          <w:bCs/>
          <w:color w:val="202124"/>
          <w:sz w:val="36"/>
          <w:szCs w:val="36"/>
          <w:u w:val="single"/>
        </w:rPr>
      </w:pPr>
    </w:p>
    <w:p w14:paraId="62C7259B" w14:textId="77777777" w:rsidR="003B3A49" w:rsidRDefault="003B3A49" w:rsidP="003B3A49">
      <w:pPr>
        <w:shd w:val="clear" w:color="auto" w:fill="FFFFFF"/>
        <w:spacing w:after="0" w:line="240" w:lineRule="auto"/>
        <w:jc w:val="center"/>
        <w:rPr>
          <w:rFonts w:ascii="Arial" w:eastAsia="Times New Roman" w:hAnsi="Arial" w:cs="Arial"/>
          <w:b/>
          <w:bCs/>
          <w:color w:val="202124"/>
          <w:sz w:val="36"/>
          <w:szCs w:val="36"/>
          <w:u w:val="single"/>
        </w:rPr>
      </w:pPr>
    </w:p>
    <w:p w14:paraId="7C5B91B2" w14:textId="77777777" w:rsidR="003B3A49" w:rsidRPr="003B3A49" w:rsidRDefault="003B3A49" w:rsidP="003B3A49">
      <w:pPr>
        <w:shd w:val="clear" w:color="auto" w:fill="FFFFFF"/>
        <w:spacing w:after="0" w:line="240" w:lineRule="auto"/>
        <w:jc w:val="center"/>
        <w:rPr>
          <w:rFonts w:ascii="Arial" w:hAnsi="Arial" w:cs="Arial"/>
        </w:rPr>
      </w:pPr>
    </w:p>
    <w:p w14:paraId="6A22B2A8" w14:textId="77777777" w:rsidR="003B3A49" w:rsidRDefault="003B3A49" w:rsidP="003B3A49">
      <w:pPr>
        <w:shd w:val="clear" w:color="auto" w:fill="FFFFFF"/>
        <w:spacing w:after="0" w:line="240" w:lineRule="auto"/>
        <w:jc w:val="center"/>
        <w:rPr>
          <w:rFonts w:ascii="Arial" w:eastAsia="Times New Roman" w:hAnsi="Arial" w:cs="Arial"/>
          <w:b/>
          <w:bCs/>
          <w:color w:val="202124"/>
          <w:sz w:val="36"/>
          <w:szCs w:val="36"/>
          <w:u w:val="single"/>
        </w:rPr>
      </w:pPr>
    </w:p>
    <w:p w14:paraId="4939D1DE" w14:textId="77777777" w:rsidR="003B3A49" w:rsidRDefault="003B3A49" w:rsidP="003B3A49">
      <w:pPr>
        <w:shd w:val="clear" w:color="auto" w:fill="FFFFFF"/>
        <w:spacing w:after="0" w:line="240" w:lineRule="auto"/>
        <w:rPr>
          <w:rFonts w:ascii="Arial" w:hAnsi="Arial" w:cs="Arial"/>
          <w:color w:val="202124"/>
          <w:shd w:val="clear" w:color="auto" w:fill="FFFFFF"/>
        </w:rPr>
      </w:pPr>
    </w:p>
    <w:p w14:paraId="65E5B7B1" w14:textId="38C4E2A2" w:rsidR="003B3A49" w:rsidRDefault="003B3A49" w:rsidP="003B3A49">
      <w:pPr>
        <w:shd w:val="clear" w:color="auto" w:fill="FFFFFF"/>
        <w:spacing w:after="0" w:line="240" w:lineRule="auto"/>
        <w:rPr>
          <w:rFonts w:ascii="Arial" w:hAnsi="Arial" w:cs="Arial"/>
          <w:color w:val="202124"/>
          <w:shd w:val="clear" w:color="auto" w:fill="FFFFFF"/>
        </w:rPr>
      </w:pPr>
    </w:p>
    <w:p w14:paraId="743738D1" w14:textId="77777777" w:rsidR="003B3A49" w:rsidRPr="003B3A49" w:rsidRDefault="003B3A49" w:rsidP="003B3A49">
      <w:pPr>
        <w:shd w:val="clear" w:color="auto" w:fill="FFFFFF"/>
        <w:spacing w:after="0" w:line="240" w:lineRule="auto"/>
        <w:rPr>
          <w:rFonts w:ascii="Arial" w:eastAsia="Times New Roman" w:hAnsi="Arial" w:cs="Arial"/>
          <w:b/>
          <w:bCs/>
          <w:color w:val="202124"/>
          <w:sz w:val="36"/>
          <w:szCs w:val="36"/>
          <w:u w:val="single"/>
        </w:rPr>
      </w:pPr>
    </w:p>
    <w:p w14:paraId="0561A8F6" w14:textId="77777777" w:rsidR="003B3A49" w:rsidRDefault="003B3A49" w:rsidP="003B3A49">
      <w:pPr>
        <w:shd w:val="clear" w:color="auto" w:fill="FFFFFF"/>
        <w:spacing w:after="0" w:line="240" w:lineRule="auto"/>
        <w:rPr>
          <w:rFonts w:ascii="Arial" w:hAnsi="Arial" w:cs="Arial"/>
          <w:color w:val="202124"/>
          <w:sz w:val="30"/>
          <w:szCs w:val="30"/>
          <w:shd w:val="clear" w:color="auto" w:fill="FFFFFF"/>
        </w:rPr>
      </w:pPr>
    </w:p>
    <w:p w14:paraId="4A4034A2" w14:textId="1C300238" w:rsidR="003B3A49" w:rsidRDefault="003B3A49" w:rsidP="003B3A49">
      <w:pPr>
        <w:shd w:val="clear" w:color="auto" w:fill="FFFFFF"/>
        <w:spacing w:after="0" w:line="240" w:lineRule="auto"/>
        <w:rPr>
          <w:rFonts w:ascii="Arial" w:hAnsi="Arial" w:cs="Arial"/>
          <w:color w:val="202124"/>
          <w:sz w:val="30"/>
          <w:szCs w:val="30"/>
          <w:shd w:val="clear" w:color="auto" w:fill="FFFFFF"/>
        </w:rPr>
      </w:pPr>
    </w:p>
    <w:p w14:paraId="78D1F03D" w14:textId="77777777" w:rsidR="003B3A49" w:rsidRDefault="003B3A49" w:rsidP="003B3A49">
      <w:pPr>
        <w:shd w:val="clear" w:color="auto" w:fill="FFFFFF"/>
        <w:spacing w:after="0" w:line="240" w:lineRule="auto"/>
        <w:rPr>
          <w:rFonts w:ascii="Arial" w:eastAsia="Times New Roman" w:hAnsi="Arial" w:cs="Arial"/>
          <w:color w:val="202124"/>
          <w:sz w:val="24"/>
          <w:szCs w:val="24"/>
          <w:lang w:val="en"/>
        </w:rPr>
      </w:pPr>
    </w:p>
    <w:p w14:paraId="34001B30" w14:textId="77777777" w:rsidR="003B3A49" w:rsidRPr="003B3A49" w:rsidRDefault="003B3A49" w:rsidP="003B3A49">
      <w:pPr>
        <w:shd w:val="clear" w:color="auto" w:fill="FFFFFF"/>
        <w:spacing w:after="0" w:line="240" w:lineRule="auto"/>
        <w:rPr>
          <w:rFonts w:ascii="Arial" w:eastAsia="Times New Roman" w:hAnsi="Arial" w:cs="Arial"/>
          <w:color w:val="202124"/>
          <w:sz w:val="27"/>
          <w:szCs w:val="27"/>
        </w:rPr>
      </w:pPr>
    </w:p>
    <w:p w14:paraId="2278A2B0" w14:textId="3248C986" w:rsidR="003B3A49" w:rsidRPr="003B3A49" w:rsidRDefault="003B3A49" w:rsidP="003B3A49">
      <w:pPr>
        <w:rPr>
          <w:sz w:val="44"/>
          <w:szCs w:val="44"/>
        </w:rPr>
      </w:pPr>
    </w:p>
    <w:sectPr w:rsidR="003B3A49" w:rsidRPr="003B3A49">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ource Sans Pro">
    <w:charset w:val="00"/>
    <w:family w:val="swiss"/>
    <w:pitch w:val="variable"/>
    <w:sig w:usb0="600002F7" w:usb1="02000001" w:usb2="00000000" w:usb3="00000000" w:csb0="0000019F" w:csb1="00000000"/>
  </w:font>
  <w:font w:name="DM Sans">
    <w:charset w:val="00"/>
    <w:family w:val="auto"/>
    <w:pitch w:val="variable"/>
    <w:sig w:usb0="8000002F" w:usb1="5000205B"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B6A63"/>
    <w:multiLevelType w:val="multilevel"/>
    <w:tmpl w:val="595CA25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4ED1D3F"/>
    <w:multiLevelType w:val="multilevel"/>
    <w:tmpl w:val="720A660C"/>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5504C2A"/>
    <w:multiLevelType w:val="multilevel"/>
    <w:tmpl w:val="753AAD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21DC27D9"/>
    <w:multiLevelType w:val="multilevel"/>
    <w:tmpl w:val="EF2AB97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2D4559C"/>
    <w:multiLevelType w:val="multilevel"/>
    <w:tmpl w:val="0C36BD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C267A7A"/>
    <w:multiLevelType w:val="multilevel"/>
    <w:tmpl w:val="BDBEC5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E1569BB"/>
    <w:multiLevelType w:val="multilevel"/>
    <w:tmpl w:val="03D676A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58E46A7F"/>
    <w:multiLevelType w:val="multilevel"/>
    <w:tmpl w:val="AD1A2A2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5F3A6BAB"/>
    <w:multiLevelType w:val="multilevel"/>
    <w:tmpl w:val="90DE0A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626B6F2D"/>
    <w:multiLevelType w:val="multilevel"/>
    <w:tmpl w:val="D6E6F7B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700833DF"/>
    <w:multiLevelType w:val="multilevel"/>
    <w:tmpl w:val="53F674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975216046">
    <w:abstractNumId w:val="4"/>
  </w:num>
  <w:num w:numId="2" w16cid:durableId="1269310609">
    <w:abstractNumId w:val="2"/>
  </w:num>
  <w:num w:numId="3" w16cid:durableId="86578041">
    <w:abstractNumId w:val="9"/>
  </w:num>
  <w:num w:numId="4" w16cid:durableId="1221214604">
    <w:abstractNumId w:val="6"/>
  </w:num>
  <w:num w:numId="5" w16cid:durableId="1463113067">
    <w:abstractNumId w:val="1"/>
  </w:num>
  <w:num w:numId="6" w16cid:durableId="864249306">
    <w:abstractNumId w:val="8"/>
  </w:num>
  <w:num w:numId="7" w16cid:durableId="820006013">
    <w:abstractNumId w:val="5"/>
  </w:num>
  <w:num w:numId="8" w16cid:durableId="394859227">
    <w:abstractNumId w:val="3"/>
  </w:num>
  <w:num w:numId="9" w16cid:durableId="563108408">
    <w:abstractNumId w:val="7"/>
  </w:num>
  <w:num w:numId="10" w16cid:durableId="1556040449">
    <w:abstractNumId w:val="0"/>
  </w:num>
  <w:num w:numId="11" w16cid:durableId="80917446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3A49"/>
    <w:rsid w:val="003B3A49"/>
    <w:rsid w:val="003E0F3B"/>
    <w:rsid w:val="004F4BA1"/>
    <w:rsid w:val="00582251"/>
    <w:rsid w:val="00B541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2B2C9F"/>
  <w15:chartTrackingRefBased/>
  <w15:docId w15:val="{A6C80878-42CF-4DE4-8B5D-9732EA0493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3">
    <w:name w:val="heading 3"/>
    <w:basedOn w:val="Normal"/>
    <w:link w:val="Heading3Char"/>
    <w:uiPriority w:val="9"/>
    <w:qFormat/>
    <w:rsid w:val="003E0F3B"/>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gkelc">
    <w:name w:val="hgkelc"/>
    <w:basedOn w:val="DefaultParagraphFont"/>
    <w:rsid w:val="003B3A49"/>
  </w:style>
  <w:style w:type="character" w:customStyle="1" w:styleId="etvozd">
    <w:name w:val="etvozd"/>
    <w:basedOn w:val="DefaultParagraphFont"/>
    <w:rsid w:val="003B3A49"/>
  </w:style>
  <w:style w:type="paragraph" w:styleId="NormalWeb">
    <w:name w:val="Normal (Web)"/>
    <w:basedOn w:val="Normal"/>
    <w:uiPriority w:val="99"/>
    <w:semiHidden/>
    <w:unhideWhenUsed/>
    <w:rsid w:val="00582251"/>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582251"/>
    <w:rPr>
      <w:b/>
      <w:bCs/>
    </w:rPr>
  </w:style>
  <w:style w:type="character" w:styleId="Hyperlink">
    <w:name w:val="Hyperlink"/>
    <w:basedOn w:val="DefaultParagraphFont"/>
    <w:uiPriority w:val="99"/>
    <w:semiHidden/>
    <w:unhideWhenUsed/>
    <w:rsid w:val="00582251"/>
    <w:rPr>
      <w:color w:val="0000FF"/>
      <w:u w:val="single"/>
    </w:rPr>
  </w:style>
  <w:style w:type="character" w:customStyle="1" w:styleId="mt-color-3498db">
    <w:name w:val="mt-color-3498db"/>
    <w:basedOn w:val="DefaultParagraphFont"/>
    <w:rsid w:val="00582251"/>
  </w:style>
  <w:style w:type="paragraph" w:customStyle="1" w:styleId="trt0xe">
    <w:name w:val="trt0xe"/>
    <w:basedOn w:val="Normal"/>
    <w:rsid w:val="0058225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3Char">
    <w:name w:val="Heading 3 Char"/>
    <w:basedOn w:val="DefaultParagraphFont"/>
    <w:link w:val="Heading3"/>
    <w:uiPriority w:val="9"/>
    <w:rsid w:val="003E0F3B"/>
    <w:rPr>
      <w:rFonts w:ascii="Times New Roman" w:eastAsia="Times New Roman" w:hAnsi="Times New Roman" w:cs="Times New Roman"/>
      <w:b/>
      <w:bCs/>
      <w:sz w:val="27"/>
      <w:szCs w:val="27"/>
    </w:rPr>
  </w:style>
  <w:style w:type="paragraph" w:customStyle="1" w:styleId="zw-list">
    <w:name w:val="zw-list"/>
    <w:basedOn w:val="Normal"/>
    <w:rsid w:val="003E0F3B"/>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zw-paragraph">
    <w:name w:val="zw-paragraph"/>
    <w:basedOn w:val="Normal"/>
    <w:rsid w:val="003E0F3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eop">
    <w:name w:val="eop"/>
    <w:basedOn w:val="DefaultParagraphFont"/>
    <w:rsid w:val="003E0F3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3611399">
      <w:bodyDiv w:val="1"/>
      <w:marLeft w:val="0"/>
      <w:marRight w:val="0"/>
      <w:marTop w:val="0"/>
      <w:marBottom w:val="0"/>
      <w:divBdr>
        <w:top w:val="none" w:sz="0" w:space="0" w:color="auto"/>
        <w:left w:val="none" w:sz="0" w:space="0" w:color="auto"/>
        <w:bottom w:val="none" w:sz="0" w:space="0" w:color="auto"/>
        <w:right w:val="none" w:sz="0" w:space="0" w:color="auto"/>
      </w:divBdr>
    </w:div>
    <w:div w:id="701981141">
      <w:bodyDiv w:val="1"/>
      <w:marLeft w:val="0"/>
      <w:marRight w:val="0"/>
      <w:marTop w:val="0"/>
      <w:marBottom w:val="0"/>
      <w:divBdr>
        <w:top w:val="none" w:sz="0" w:space="0" w:color="auto"/>
        <w:left w:val="none" w:sz="0" w:space="0" w:color="auto"/>
        <w:bottom w:val="none" w:sz="0" w:space="0" w:color="auto"/>
        <w:right w:val="none" w:sz="0" w:space="0" w:color="auto"/>
      </w:divBdr>
    </w:div>
    <w:div w:id="776410571">
      <w:bodyDiv w:val="1"/>
      <w:marLeft w:val="0"/>
      <w:marRight w:val="0"/>
      <w:marTop w:val="0"/>
      <w:marBottom w:val="0"/>
      <w:divBdr>
        <w:top w:val="none" w:sz="0" w:space="0" w:color="auto"/>
        <w:left w:val="none" w:sz="0" w:space="0" w:color="auto"/>
        <w:bottom w:val="none" w:sz="0" w:space="0" w:color="auto"/>
        <w:right w:val="none" w:sz="0" w:space="0" w:color="auto"/>
      </w:divBdr>
    </w:div>
    <w:div w:id="943459849">
      <w:bodyDiv w:val="1"/>
      <w:marLeft w:val="0"/>
      <w:marRight w:val="0"/>
      <w:marTop w:val="0"/>
      <w:marBottom w:val="0"/>
      <w:divBdr>
        <w:top w:val="none" w:sz="0" w:space="0" w:color="auto"/>
        <w:left w:val="none" w:sz="0" w:space="0" w:color="auto"/>
        <w:bottom w:val="none" w:sz="0" w:space="0" w:color="auto"/>
        <w:right w:val="none" w:sz="0" w:space="0" w:color="auto"/>
      </w:divBdr>
      <w:divsChild>
        <w:div w:id="1168401086">
          <w:marLeft w:val="0"/>
          <w:marRight w:val="0"/>
          <w:marTop w:val="0"/>
          <w:marBottom w:val="0"/>
          <w:divBdr>
            <w:top w:val="none" w:sz="0" w:space="0" w:color="auto"/>
            <w:left w:val="none" w:sz="0" w:space="0" w:color="auto"/>
            <w:bottom w:val="none" w:sz="0" w:space="0" w:color="auto"/>
            <w:right w:val="none" w:sz="0" w:space="0" w:color="auto"/>
          </w:divBdr>
          <w:divsChild>
            <w:div w:id="654725995">
              <w:marLeft w:val="0"/>
              <w:marRight w:val="0"/>
              <w:marTop w:val="180"/>
              <w:marBottom w:val="180"/>
              <w:divBdr>
                <w:top w:val="none" w:sz="0" w:space="0" w:color="auto"/>
                <w:left w:val="none" w:sz="0" w:space="0" w:color="auto"/>
                <w:bottom w:val="none" w:sz="0" w:space="0" w:color="auto"/>
                <w:right w:val="none" w:sz="0" w:space="0" w:color="auto"/>
              </w:divBdr>
            </w:div>
          </w:divsChild>
        </w:div>
        <w:div w:id="245505958">
          <w:marLeft w:val="0"/>
          <w:marRight w:val="0"/>
          <w:marTop w:val="0"/>
          <w:marBottom w:val="0"/>
          <w:divBdr>
            <w:top w:val="none" w:sz="0" w:space="0" w:color="auto"/>
            <w:left w:val="none" w:sz="0" w:space="0" w:color="auto"/>
            <w:bottom w:val="none" w:sz="0" w:space="0" w:color="auto"/>
            <w:right w:val="none" w:sz="0" w:space="0" w:color="auto"/>
          </w:divBdr>
          <w:divsChild>
            <w:div w:id="1298026599">
              <w:marLeft w:val="0"/>
              <w:marRight w:val="0"/>
              <w:marTop w:val="0"/>
              <w:marBottom w:val="0"/>
              <w:divBdr>
                <w:top w:val="none" w:sz="0" w:space="0" w:color="auto"/>
                <w:left w:val="none" w:sz="0" w:space="0" w:color="auto"/>
                <w:bottom w:val="none" w:sz="0" w:space="0" w:color="auto"/>
                <w:right w:val="none" w:sz="0" w:space="0" w:color="auto"/>
              </w:divBdr>
              <w:divsChild>
                <w:div w:id="47653939">
                  <w:marLeft w:val="0"/>
                  <w:marRight w:val="0"/>
                  <w:marTop w:val="0"/>
                  <w:marBottom w:val="0"/>
                  <w:divBdr>
                    <w:top w:val="none" w:sz="0" w:space="0" w:color="auto"/>
                    <w:left w:val="none" w:sz="0" w:space="0" w:color="auto"/>
                    <w:bottom w:val="none" w:sz="0" w:space="0" w:color="auto"/>
                    <w:right w:val="none" w:sz="0" w:space="0" w:color="auto"/>
                  </w:divBdr>
                  <w:divsChild>
                    <w:div w:id="1108739216">
                      <w:marLeft w:val="0"/>
                      <w:marRight w:val="0"/>
                      <w:marTop w:val="0"/>
                      <w:marBottom w:val="0"/>
                      <w:divBdr>
                        <w:top w:val="none" w:sz="0" w:space="0" w:color="auto"/>
                        <w:left w:val="none" w:sz="0" w:space="0" w:color="auto"/>
                        <w:bottom w:val="none" w:sz="0" w:space="0" w:color="auto"/>
                        <w:right w:val="none" w:sz="0" w:space="0" w:color="auto"/>
                      </w:divBdr>
                      <w:divsChild>
                        <w:div w:id="1633975750">
                          <w:marLeft w:val="0"/>
                          <w:marRight w:val="0"/>
                          <w:marTop w:val="0"/>
                          <w:marBottom w:val="0"/>
                          <w:divBdr>
                            <w:top w:val="none" w:sz="0" w:space="0" w:color="auto"/>
                            <w:left w:val="none" w:sz="0" w:space="0" w:color="auto"/>
                            <w:bottom w:val="none" w:sz="0" w:space="0" w:color="auto"/>
                            <w:right w:val="none" w:sz="0" w:space="0" w:color="auto"/>
                          </w:divBdr>
                          <w:divsChild>
                            <w:div w:id="1064986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53847886">
      <w:bodyDiv w:val="1"/>
      <w:marLeft w:val="0"/>
      <w:marRight w:val="0"/>
      <w:marTop w:val="0"/>
      <w:marBottom w:val="0"/>
      <w:divBdr>
        <w:top w:val="none" w:sz="0" w:space="0" w:color="auto"/>
        <w:left w:val="none" w:sz="0" w:space="0" w:color="auto"/>
        <w:bottom w:val="none" w:sz="0" w:space="0" w:color="auto"/>
        <w:right w:val="none" w:sz="0" w:space="0" w:color="auto"/>
      </w:divBdr>
    </w:div>
    <w:div w:id="1104158112">
      <w:bodyDiv w:val="1"/>
      <w:marLeft w:val="0"/>
      <w:marRight w:val="0"/>
      <w:marTop w:val="0"/>
      <w:marBottom w:val="0"/>
      <w:divBdr>
        <w:top w:val="none" w:sz="0" w:space="0" w:color="auto"/>
        <w:left w:val="none" w:sz="0" w:space="0" w:color="auto"/>
        <w:bottom w:val="none" w:sz="0" w:space="0" w:color="auto"/>
        <w:right w:val="none" w:sz="0" w:space="0" w:color="auto"/>
      </w:divBdr>
    </w:div>
    <w:div w:id="15635185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hyperlink" Target="https://ebizfiling.com/blog/link-aadhar-with-epfo/" TargetMode="Externa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s://help.avalara.com/Avalara_AvaTax_Update/Avalara_tax_codes" TargetMode="External"/><Relationship Id="rId11" Type="http://schemas.openxmlformats.org/officeDocument/2006/relationships/image" Target="media/image4.png"/><Relationship Id="rId5" Type="http://schemas.openxmlformats.org/officeDocument/2006/relationships/hyperlink" Target="https://help.avalara.com/Avalara_AvaTax_Update/Exemption_Reason_Matrix_for_US_and_Canada" TargetMode="External"/><Relationship Id="rId15" Type="http://schemas.openxmlformats.org/officeDocument/2006/relationships/image" Target="media/image8.png"/><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34</TotalTime>
  <Pages>10</Pages>
  <Words>1239</Words>
  <Characters>7063</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8286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home</dc:creator>
  <cp:keywords/>
  <dc:description/>
  <cp:lastModifiedBy>home</cp:lastModifiedBy>
  <cp:revision>1</cp:revision>
  <dcterms:created xsi:type="dcterms:W3CDTF">2022-10-09T09:48:00Z</dcterms:created>
  <dcterms:modified xsi:type="dcterms:W3CDTF">2022-10-09T10:22:00Z</dcterms:modified>
</cp:coreProperties>
</file>